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8218" w14:textId="77777777" w:rsidR="00A37729" w:rsidRPr="00583273" w:rsidRDefault="00A37729" w:rsidP="00A37729">
      <w:pPr>
        <w:ind w:left="3888" w:firstLine="1641"/>
        <w:jc w:val="both"/>
        <w:rPr>
          <w:szCs w:val="24"/>
        </w:rPr>
      </w:pPr>
      <w:r w:rsidRPr="00583273">
        <w:rPr>
          <w:szCs w:val="24"/>
        </w:rPr>
        <w:t>PRITARTA</w:t>
      </w:r>
    </w:p>
    <w:p w14:paraId="6DC3A85C" w14:textId="77777777" w:rsidR="00A37729" w:rsidRPr="00583273" w:rsidRDefault="00A37729" w:rsidP="00A37729">
      <w:pPr>
        <w:ind w:left="3888" w:firstLine="1641"/>
        <w:jc w:val="both"/>
        <w:rPr>
          <w:szCs w:val="24"/>
        </w:rPr>
      </w:pPr>
      <w:r w:rsidRPr="00583273">
        <w:rPr>
          <w:szCs w:val="24"/>
        </w:rPr>
        <w:t>Akmenės rajono savivaldybės tarybos</w:t>
      </w:r>
    </w:p>
    <w:p w14:paraId="061EC2DE" w14:textId="41DBD5C9" w:rsidR="00A37729" w:rsidRPr="00583273" w:rsidRDefault="00A37729" w:rsidP="00A37729">
      <w:pPr>
        <w:ind w:left="3888" w:firstLine="1641"/>
        <w:jc w:val="both"/>
        <w:rPr>
          <w:szCs w:val="24"/>
        </w:rPr>
      </w:pPr>
      <w:r w:rsidRPr="00583273">
        <w:rPr>
          <w:szCs w:val="24"/>
        </w:rPr>
        <w:t>202</w:t>
      </w:r>
      <w:r w:rsidR="00EE2927" w:rsidRPr="00583273">
        <w:rPr>
          <w:szCs w:val="24"/>
        </w:rPr>
        <w:t>2</w:t>
      </w:r>
      <w:r w:rsidRPr="00583273">
        <w:rPr>
          <w:szCs w:val="24"/>
        </w:rPr>
        <w:t xml:space="preserve"> m. kovo      d. sprendimu Nr. T-</w:t>
      </w:r>
    </w:p>
    <w:p w14:paraId="1FBCF880" w14:textId="37EC7E83" w:rsidR="00267102" w:rsidRPr="00583273" w:rsidRDefault="00267102" w:rsidP="00267102">
      <w:pPr>
        <w:jc w:val="center"/>
        <w:rPr>
          <w:b/>
          <w:szCs w:val="24"/>
          <w:lang w:eastAsia="lt-LT"/>
        </w:rPr>
      </w:pPr>
    </w:p>
    <w:p w14:paraId="06BE4029" w14:textId="77777777" w:rsidR="00DF5181" w:rsidRPr="00583273" w:rsidRDefault="00DF5181" w:rsidP="00267102">
      <w:pPr>
        <w:jc w:val="center"/>
        <w:rPr>
          <w:b/>
          <w:szCs w:val="24"/>
          <w:lang w:eastAsia="lt-LT"/>
        </w:rPr>
      </w:pPr>
    </w:p>
    <w:p w14:paraId="7C2F9E3E" w14:textId="77777777" w:rsidR="00A37729" w:rsidRPr="00A94412" w:rsidRDefault="00A37729" w:rsidP="00A37729">
      <w:pPr>
        <w:tabs>
          <w:tab w:val="left" w:pos="14656"/>
        </w:tabs>
        <w:jc w:val="center"/>
        <w:rPr>
          <w:szCs w:val="24"/>
          <w:lang w:eastAsia="lt-LT"/>
        </w:rPr>
      </w:pPr>
      <w:r w:rsidRPr="00A94412">
        <w:rPr>
          <w:szCs w:val="24"/>
          <w:lang w:eastAsia="lt-LT"/>
        </w:rPr>
        <w:t>AKMENĖS RAJONO JAUNIMO IR SUAUGUSIŲJŲ ŠVIETIMO CENTRAS</w:t>
      </w:r>
    </w:p>
    <w:p w14:paraId="49D6AAE2" w14:textId="190BD199" w:rsidR="00A37729" w:rsidRPr="00583273" w:rsidRDefault="00A37729" w:rsidP="00A37729">
      <w:pPr>
        <w:tabs>
          <w:tab w:val="left" w:pos="14656"/>
        </w:tabs>
        <w:jc w:val="center"/>
        <w:rPr>
          <w:sz w:val="20"/>
          <w:lang w:eastAsia="lt-LT"/>
        </w:rPr>
      </w:pPr>
    </w:p>
    <w:p w14:paraId="4B666B67" w14:textId="77777777" w:rsidR="00A37729" w:rsidRPr="00583273" w:rsidRDefault="00A37729" w:rsidP="00A37729">
      <w:pPr>
        <w:tabs>
          <w:tab w:val="left" w:pos="14656"/>
        </w:tabs>
        <w:jc w:val="center"/>
        <w:rPr>
          <w:sz w:val="20"/>
          <w:lang w:eastAsia="lt-LT"/>
        </w:rPr>
      </w:pPr>
    </w:p>
    <w:p w14:paraId="33333D50" w14:textId="600C250B" w:rsidR="00A37729" w:rsidRPr="00583273" w:rsidRDefault="00610E64" w:rsidP="00A37729">
      <w:pPr>
        <w:tabs>
          <w:tab w:val="left" w:pos="14656"/>
        </w:tabs>
        <w:jc w:val="center"/>
        <w:rPr>
          <w:b/>
          <w:szCs w:val="24"/>
          <w:lang w:eastAsia="lt-LT"/>
        </w:rPr>
      </w:pPr>
      <w:r w:rsidRPr="00583273">
        <w:rPr>
          <w:b/>
          <w:szCs w:val="24"/>
          <w:lang w:eastAsia="lt-LT"/>
        </w:rPr>
        <w:t xml:space="preserve">2021 </w:t>
      </w:r>
      <w:r w:rsidR="00A37729" w:rsidRPr="00583273">
        <w:rPr>
          <w:b/>
          <w:szCs w:val="24"/>
          <w:lang w:eastAsia="lt-LT"/>
        </w:rPr>
        <w:t>MET</w:t>
      </w:r>
      <w:r w:rsidR="00BB1F3F" w:rsidRPr="00583273">
        <w:rPr>
          <w:b/>
          <w:szCs w:val="24"/>
          <w:lang w:eastAsia="lt-LT"/>
        </w:rPr>
        <w:t>Ų</w:t>
      </w:r>
      <w:r w:rsidR="00A37729" w:rsidRPr="00583273">
        <w:rPr>
          <w:b/>
          <w:szCs w:val="24"/>
          <w:lang w:eastAsia="lt-LT"/>
        </w:rPr>
        <w:t xml:space="preserve"> VEIKLOS ATASKAITA</w:t>
      </w:r>
    </w:p>
    <w:p w14:paraId="716FDC08" w14:textId="77777777" w:rsidR="00267102" w:rsidRPr="00583273" w:rsidRDefault="00267102" w:rsidP="00267102">
      <w:pPr>
        <w:jc w:val="center"/>
        <w:rPr>
          <w:szCs w:val="24"/>
          <w:lang w:eastAsia="lt-LT"/>
        </w:rPr>
      </w:pPr>
    </w:p>
    <w:p w14:paraId="6B592480" w14:textId="43E43364" w:rsidR="00267102" w:rsidRPr="00583273" w:rsidRDefault="007074CD" w:rsidP="00267102">
      <w:pPr>
        <w:jc w:val="center"/>
        <w:rPr>
          <w:szCs w:val="24"/>
          <w:lang w:eastAsia="lt-LT"/>
        </w:rPr>
      </w:pPr>
      <w:r w:rsidRPr="00B93962">
        <w:rPr>
          <w:szCs w:val="24"/>
          <w:lang w:eastAsia="lt-LT"/>
        </w:rPr>
        <w:t>202</w:t>
      </w:r>
      <w:r w:rsidR="00C2555C" w:rsidRPr="00B93962">
        <w:rPr>
          <w:szCs w:val="24"/>
          <w:lang w:eastAsia="lt-LT"/>
        </w:rPr>
        <w:t>2</w:t>
      </w:r>
      <w:r w:rsidRPr="00B93962">
        <w:rPr>
          <w:szCs w:val="24"/>
          <w:lang w:eastAsia="lt-LT"/>
        </w:rPr>
        <w:t>-</w:t>
      </w:r>
      <w:r w:rsidR="00920574" w:rsidRPr="00B93962">
        <w:rPr>
          <w:szCs w:val="24"/>
          <w:lang w:eastAsia="lt-LT"/>
        </w:rPr>
        <w:t>03-02</w:t>
      </w:r>
      <w:r w:rsidRPr="00583273">
        <w:rPr>
          <w:szCs w:val="24"/>
          <w:lang w:eastAsia="lt-LT"/>
        </w:rPr>
        <w:t xml:space="preserve">  </w:t>
      </w:r>
      <w:r w:rsidR="00267102" w:rsidRPr="00583273">
        <w:rPr>
          <w:szCs w:val="24"/>
          <w:lang w:eastAsia="lt-LT"/>
        </w:rPr>
        <w:t xml:space="preserve">Nr. ____ </w:t>
      </w:r>
    </w:p>
    <w:p w14:paraId="307A4DEF" w14:textId="02F14BF5" w:rsidR="00267102" w:rsidRPr="00A94412" w:rsidRDefault="007074CD" w:rsidP="00267102">
      <w:pPr>
        <w:tabs>
          <w:tab w:val="left" w:pos="3828"/>
        </w:tabs>
        <w:jc w:val="center"/>
        <w:rPr>
          <w:szCs w:val="24"/>
          <w:lang w:eastAsia="lt-LT"/>
        </w:rPr>
      </w:pPr>
      <w:r w:rsidRPr="00A94412">
        <w:rPr>
          <w:szCs w:val="24"/>
          <w:lang w:eastAsia="lt-LT"/>
        </w:rPr>
        <w:t>Naujoji Akmenė</w:t>
      </w:r>
    </w:p>
    <w:p w14:paraId="7FEA4537" w14:textId="77777777" w:rsidR="00267102" w:rsidRPr="00583273" w:rsidRDefault="00267102" w:rsidP="00267102">
      <w:pPr>
        <w:jc w:val="center"/>
        <w:rPr>
          <w:lang w:eastAsia="lt-LT"/>
        </w:rPr>
      </w:pPr>
    </w:p>
    <w:p w14:paraId="596E4AC3" w14:textId="77777777" w:rsidR="00267102" w:rsidRPr="00583273" w:rsidRDefault="00267102" w:rsidP="00267102">
      <w:pPr>
        <w:jc w:val="center"/>
        <w:rPr>
          <w:b/>
          <w:szCs w:val="24"/>
          <w:lang w:eastAsia="lt-LT"/>
        </w:rPr>
      </w:pPr>
      <w:r w:rsidRPr="00583273">
        <w:rPr>
          <w:b/>
          <w:szCs w:val="24"/>
          <w:lang w:eastAsia="lt-LT"/>
        </w:rPr>
        <w:t>I SKYRIUS</w:t>
      </w:r>
    </w:p>
    <w:p w14:paraId="7736F760" w14:textId="77777777" w:rsidR="00267102" w:rsidRPr="00583273" w:rsidRDefault="00267102" w:rsidP="00267102">
      <w:pPr>
        <w:jc w:val="center"/>
        <w:rPr>
          <w:b/>
          <w:szCs w:val="24"/>
          <w:lang w:eastAsia="lt-LT"/>
        </w:rPr>
      </w:pPr>
      <w:r w:rsidRPr="00583273">
        <w:rPr>
          <w:b/>
          <w:szCs w:val="24"/>
          <w:lang w:eastAsia="lt-LT"/>
        </w:rPr>
        <w:t>STRATEGINIO PLANO IR METINIO VEIKLOS PLANO ĮGYVENDINIMAS</w:t>
      </w:r>
    </w:p>
    <w:p w14:paraId="12BD043B" w14:textId="77777777" w:rsidR="00267102" w:rsidRPr="00583273" w:rsidRDefault="00267102" w:rsidP="00267102">
      <w:pPr>
        <w:jc w:val="center"/>
        <w:rPr>
          <w:b/>
          <w:lang w:eastAsia="lt-LT"/>
        </w:rPr>
      </w:pPr>
    </w:p>
    <w:tbl>
      <w:tblPr>
        <w:tblStyle w:val="Lentelstinklelis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267102" w:rsidRPr="00583273" w14:paraId="718D6920" w14:textId="77777777" w:rsidTr="00BC5BAA">
        <w:tc>
          <w:tcPr>
            <w:tcW w:w="9775" w:type="dxa"/>
          </w:tcPr>
          <w:p w14:paraId="7EFB90C9" w14:textId="09F446A1" w:rsidR="009F7E14" w:rsidRPr="00583273" w:rsidRDefault="00E203E0" w:rsidP="00B93962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Akmenės rajono jaunimo ir suaugusiųjų švietimo centr</w:t>
            </w:r>
            <w:r w:rsidR="00483565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o (toliau – Centras) strateginis ir metinis veiklos planai buvo kuriami vadovaujantis nuostata, kad Centro valdymas yra nuolatinis, dinaminis ir nuoseklus procesas, </w:t>
            </w:r>
            <w:r w:rsidR="005B7000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padedantis Centrui prisitaikyti prie išorinės aplinkos pokyčių, kuo efektyviau naudojant turimą potencialą. </w:t>
            </w:r>
            <w:r w:rsidR="009F7E14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Centro 2021-2025 metų strateginiam veiklos planui buvo pritarta </w:t>
            </w:r>
            <w:r w:rsidR="00A37729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Akmenės rajono savivaldybės administracijos direktoriaus pavaduotojo 2021-02-15 įsakymu Nr. PAV-78</w:t>
            </w:r>
            <w:r w:rsidR="009F7E14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A37729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4EB9D040" w14:textId="2A087C50" w:rsidR="005B7000" w:rsidRPr="00583273" w:rsidRDefault="00A37729" w:rsidP="00B93962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Centro direktoriaus 2021 m. sausio </w:t>
            </w:r>
            <w:r w:rsidR="009F7E14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d. įsakymu Nr. V-</w:t>
            </w:r>
            <w:r w:rsidR="009F7E14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buvo patvirtintas metinis </w:t>
            </w:r>
            <w:r w:rsidR="009F7E14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Centro </w:t>
            </w:r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veiklos planas.</w:t>
            </w:r>
          </w:p>
          <w:p w14:paraId="5D7E986C" w14:textId="77777777" w:rsidR="002D385C" w:rsidRPr="00583273" w:rsidRDefault="005B7000" w:rsidP="00B93962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Centr</w:t>
            </w:r>
            <w:r w:rsidR="00610E64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</w:t>
            </w:r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E203E0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veikl</w:t>
            </w:r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os</w:t>
            </w:r>
            <w:r w:rsidR="00610E64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kryptys</w:t>
            </w:r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:</w:t>
            </w:r>
            <w:r w:rsidR="00E203E0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5FC80E51" w14:textId="77777777" w:rsidR="002D385C" w:rsidRPr="00583273" w:rsidRDefault="00E203E0" w:rsidP="00B93962">
            <w:pPr>
              <w:pStyle w:val="Sraopastraipa"/>
              <w:numPr>
                <w:ilvl w:val="0"/>
                <w:numId w:val="7"/>
              </w:numPr>
              <w:ind w:left="1170" w:hanging="284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lt-LT"/>
              </w:rPr>
            </w:pPr>
            <w:r w:rsidRPr="00583273">
              <w:rPr>
                <w:rFonts w:ascii="Times New Roman" w:eastAsiaTheme="minorHAnsi" w:hAnsi="Times New Roman" w:cs="Times New Roman"/>
                <w:sz w:val="24"/>
                <w:szCs w:val="28"/>
              </w:rPr>
              <w:t>formalusis ir neformalusis bendrasis ugdymas;</w:t>
            </w:r>
          </w:p>
          <w:p w14:paraId="1105F51D" w14:textId="77777777" w:rsidR="002D385C" w:rsidRPr="00583273" w:rsidRDefault="00E203E0" w:rsidP="00B93962">
            <w:pPr>
              <w:pStyle w:val="Sraopastraipa"/>
              <w:numPr>
                <w:ilvl w:val="0"/>
                <w:numId w:val="7"/>
              </w:numPr>
              <w:ind w:left="1170" w:hanging="259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lt-LT"/>
              </w:rPr>
            </w:pPr>
            <w:r w:rsidRPr="00583273">
              <w:rPr>
                <w:rFonts w:ascii="Times New Roman" w:eastAsiaTheme="minorHAnsi" w:hAnsi="Times New Roman" w:cs="Times New Roman"/>
                <w:sz w:val="24"/>
                <w:szCs w:val="28"/>
              </w:rPr>
              <w:t xml:space="preserve"> rajono bendruomenės kvalifikacijos tobulinimas;</w:t>
            </w:r>
          </w:p>
          <w:p w14:paraId="71EA5BB3" w14:textId="77777777" w:rsidR="002D385C" w:rsidRPr="00583273" w:rsidRDefault="00661119" w:rsidP="00B93962">
            <w:pPr>
              <w:pStyle w:val="Sraopastraipa"/>
              <w:numPr>
                <w:ilvl w:val="0"/>
                <w:numId w:val="7"/>
              </w:numPr>
              <w:ind w:left="1170" w:hanging="284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lt-LT"/>
              </w:rPr>
            </w:pPr>
            <w:r w:rsidRPr="00583273">
              <w:rPr>
                <w:rFonts w:ascii="Times New Roman" w:eastAsiaTheme="minorHAnsi" w:hAnsi="Times New Roman" w:cs="Times New Roman"/>
                <w:sz w:val="24"/>
                <w:szCs w:val="28"/>
              </w:rPr>
              <w:t xml:space="preserve">pirminis ir tęstinis </w:t>
            </w:r>
            <w:r w:rsidR="00E203E0" w:rsidRPr="00583273">
              <w:rPr>
                <w:rFonts w:ascii="Times New Roman" w:eastAsiaTheme="minorHAnsi" w:hAnsi="Times New Roman" w:cs="Times New Roman"/>
                <w:sz w:val="24"/>
                <w:szCs w:val="28"/>
              </w:rPr>
              <w:t>formalusis profesinis mokymas;</w:t>
            </w:r>
          </w:p>
          <w:p w14:paraId="10F454D6" w14:textId="77777777" w:rsidR="002D385C" w:rsidRPr="00583273" w:rsidRDefault="00E203E0" w:rsidP="00B93962">
            <w:pPr>
              <w:pStyle w:val="Sraopastraipa"/>
              <w:numPr>
                <w:ilvl w:val="0"/>
                <w:numId w:val="7"/>
              </w:numPr>
              <w:ind w:left="1170" w:hanging="259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lt-LT"/>
              </w:rPr>
            </w:pPr>
            <w:r w:rsidRPr="00583273">
              <w:rPr>
                <w:rFonts w:ascii="Times New Roman" w:eastAsiaTheme="minorHAnsi" w:hAnsi="Times New Roman" w:cs="Times New Roman"/>
                <w:sz w:val="24"/>
                <w:szCs w:val="28"/>
              </w:rPr>
              <w:t>valstybinės kalbos mokėjimo ir Lietuvos Respublikos Konstitucijos pagrindų egzaminų vykdymas;</w:t>
            </w:r>
          </w:p>
          <w:p w14:paraId="306328B9" w14:textId="77777777" w:rsidR="002D385C" w:rsidRPr="00583273" w:rsidRDefault="00E203E0" w:rsidP="00B93962">
            <w:pPr>
              <w:pStyle w:val="Sraopastraipa"/>
              <w:numPr>
                <w:ilvl w:val="0"/>
                <w:numId w:val="7"/>
              </w:numPr>
              <w:ind w:left="1170" w:hanging="284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lt-LT"/>
              </w:rPr>
            </w:pPr>
            <w:r w:rsidRPr="00583273">
              <w:rPr>
                <w:rFonts w:ascii="Times New Roman" w:eastAsiaTheme="minorHAnsi" w:hAnsi="Times New Roman" w:cs="Times New Roman"/>
                <w:sz w:val="24"/>
                <w:szCs w:val="28"/>
              </w:rPr>
              <w:t>Trečiojo amžiaus universiteto veikla;</w:t>
            </w:r>
          </w:p>
          <w:p w14:paraId="7F4C1B81" w14:textId="77777777" w:rsidR="002D385C" w:rsidRPr="00583273" w:rsidRDefault="006C49E0" w:rsidP="00B93962">
            <w:pPr>
              <w:pStyle w:val="Sraopastraipa"/>
              <w:numPr>
                <w:ilvl w:val="0"/>
                <w:numId w:val="7"/>
              </w:numPr>
              <w:ind w:left="1170" w:hanging="284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lt-LT"/>
              </w:rPr>
            </w:pPr>
            <w:r w:rsidRPr="00583273">
              <w:rPr>
                <w:rFonts w:ascii="Times New Roman" w:eastAsiaTheme="minorHAnsi" w:hAnsi="Times New Roman" w:cs="Times New Roman"/>
                <w:sz w:val="24"/>
                <w:szCs w:val="28"/>
              </w:rPr>
              <w:t>Jaunimo informavim</w:t>
            </w:r>
            <w:r w:rsidR="004B6B7F" w:rsidRPr="00583273">
              <w:rPr>
                <w:rFonts w:ascii="Times New Roman" w:eastAsiaTheme="minorHAnsi" w:hAnsi="Times New Roman" w:cs="Times New Roman"/>
                <w:sz w:val="24"/>
                <w:szCs w:val="28"/>
              </w:rPr>
              <w:t>o</w:t>
            </w:r>
            <w:r w:rsidR="00610E64" w:rsidRPr="00583273">
              <w:rPr>
                <w:rFonts w:ascii="Times New Roman" w:eastAsiaTheme="minorHAnsi" w:hAnsi="Times New Roman" w:cs="Times New Roman"/>
                <w:sz w:val="24"/>
                <w:szCs w:val="28"/>
              </w:rPr>
              <w:t xml:space="preserve"> ir </w:t>
            </w:r>
            <w:r w:rsidRPr="00583273">
              <w:rPr>
                <w:rFonts w:ascii="Times New Roman" w:eastAsiaTheme="minorHAnsi" w:hAnsi="Times New Roman" w:cs="Times New Roman"/>
                <w:sz w:val="24"/>
                <w:szCs w:val="28"/>
              </w:rPr>
              <w:t>konsultavim</w:t>
            </w:r>
            <w:r w:rsidR="004B6B7F" w:rsidRPr="00583273">
              <w:rPr>
                <w:rFonts w:ascii="Times New Roman" w:eastAsiaTheme="minorHAnsi" w:hAnsi="Times New Roman" w:cs="Times New Roman"/>
                <w:sz w:val="24"/>
                <w:szCs w:val="28"/>
              </w:rPr>
              <w:t>o taškas</w:t>
            </w:r>
            <w:r w:rsidR="00610E64" w:rsidRPr="00583273">
              <w:rPr>
                <w:rFonts w:ascii="Times New Roman" w:eastAsiaTheme="minorHAnsi" w:hAnsi="Times New Roman" w:cs="Times New Roman"/>
                <w:sz w:val="24"/>
                <w:szCs w:val="28"/>
              </w:rPr>
              <w:t>.</w:t>
            </w:r>
            <w:r w:rsidR="0099026E" w:rsidRPr="00583273">
              <w:rPr>
                <w:rFonts w:ascii="Times New Roman" w:eastAsiaTheme="minorHAns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99026E" w:rsidRPr="00583273">
              <w:rPr>
                <w:rFonts w:ascii="Times New Roman" w:eastAsiaTheme="minorHAnsi" w:hAnsi="Times New Roman" w:cs="Times New Roman"/>
                <w:sz w:val="24"/>
                <w:szCs w:val="28"/>
              </w:rPr>
              <w:t>Eurodesk</w:t>
            </w:r>
            <w:proofErr w:type="spellEnd"/>
            <w:r w:rsidRPr="00583273">
              <w:rPr>
                <w:rFonts w:ascii="Times New Roman" w:eastAsiaTheme="minorHAnsi" w:hAnsi="Times New Roman" w:cs="Times New Roman"/>
                <w:sz w:val="24"/>
                <w:szCs w:val="28"/>
              </w:rPr>
              <w:t>;</w:t>
            </w:r>
          </w:p>
          <w:p w14:paraId="710522F6" w14:textId="77777777" w:rsidR="002D385C" w:rsidRPr="00583273" w:rsidRDefault="006C49E0" w:rsidP="00B93962">
            <w:pPr>
              <w:pStyle w:val="Sraopastraipa"/>
              <w:numPr>
                <w:ilvl w:val="0"/>
                <w:numId w:val="7"/>
              </w:numPr>
              <w:ind w:left="1170" w:hanging="284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lt-LT"/>
              </w:rPr>
            </w:pPr>
            <w:r w:rsidRPr="00583273">
              <w:rPr>
                <w:rFonts w:ascii="Times New Roman" w:eastAsiaTheme="minorHAnsi" w:hAnsi="Times New Roman" w:cs="Times New Roman"/>
                <w:sz w:val="24"/>
                <w:szCs w:val="28"/>
              </w:rPr>
              <w:t>Atvir</w:t>
            </w:r>
            <w:r w:rsidR="0099026E" w:rsidRPr="00583273">
              <w:rPr>
                <w:rFonts w:ascii="Times New Roman" w:eastAsiaTheme="minorHAnsi" w:hAnsi="Times New Roman" w:cs="Times New Roman"/>
                <w:sz w:val="24"/>
                <w:szCs w:val="28"/>
              </w:rPr>
              <w:t>os</w:t>
            </w:r>
            <w:r w:rsidRPr="00583273">
              <w:rPr>
                <w:rFonts w:ascii="Times New Roman" w:eastAsiaTheme="minorHAnsi" w:hAnsi="Times New Roman" w:cs="Times New Roman"/>
                <w:sz w:val="24"/>
                <w:szCs w:val="28"/>
              </w:rPr>
              <w:t xml:space="preserve"> jaunimo erdvė</w:t>
            </w:r>
            <w:r w:rsidR="0099026E" w:rsidRPr="00583273">
              <w:rPr>
                <w:rFonts w:ascii="Times New Roman" w:eastAsiaTheme="minorHAnsi" w:hAnsi="Times New Roman" w:cs="Times New Roman"/>
                <w:sz w:val="24"/>
                <w:szCs w:val="28"/>
              </w:rPr>
              <w:t>s</w:t>
            </w:r>
            <w:r w:rsidRPr="00583273">
              <w:rPr>
                <w:rFonts w:ascii="Times New Roman" w:eastAsiaTheme="minorHAnsi" w:hAnsi="Times New Roman" w:cs="Times New Roman"/>
                <w:sz w:val="24"/>
                <w:szCs w:val="28"/>
              </w:rPr>
              <w:t xml:space="preserve"> </w:t>
            </w:r>
            <w:r w:rsidR="004B6B7F" w:rsidRPr="00583273">
              <w:rPr>
                <w:rFonts w:ascii="Times New Roman" w:eastAsiaTheme="minorHAnsi" w:hAnsi="Times New Roman" w:cs="Times New Roman"/>
                <w:sz w:val="24"/>
                <w:szCs w:val="28"/>
              </w:rPr>
              <w:t>Akmenės rajono j</w:t>
            </w:r>
            <w:r w:rsidRPr="00583273">
              <w:rPr>
                <w:rFonts w:ascii="Times New Roman" w:eastAsiaTheme="minorHAnsi" w:hAnsi="Times New Roman" w:cs="Times New Roman"/>
                <w:sz w:val="24"/>
                <w:szCs w:val="28"/>
              </w:rPr>
              <w:t xml:space="preserve">aunimo ir suaugusiųjų švietimo bei </w:t>
            </w:r>
            <w:proofErr w:type="spellStart"/>
            <w:r w:rsidRPr="00583273">
              <w:rPr>
                <w:rFonts w:ascii="Times New Roman" w:eastAsiaTheme="minorHAnsi" w:hAnsi="Times New Roman" w:cs="Times New Roman"/>
                <w:sz w:val="24"/>
                <w:szCs w:val="28"/>
              </w:rPr>
              <w:t>Agluonų</w:t>
            </w:r>
            <w:proofErr w:type="spellEnd"/>
            <w:r w:rsidRPr="00583273">
              <w:rPr>
                <w:rFonts w:ascii="Times New Roman" w:eastAsiaTheme="minorHAnsi" w:hAnsi="Times New Roman" w:cs="Times New Roman"/>
                <w:sz w:val="24"/>
                <w:szCs w:val="28"/>
              </w:rPr>
              <w:t xml:space="preserve"> daugiafunkciame centr</w:t>
            </w:r>
            <w:r w:rsidR="00661119" w:rsidRPr="00583273">
              <w:rPr>
                <w:rFonts w:ascii="Times New Roman" w:eastAsiaTheme="minorHAnsi" w:hAnsi="Times New Roman" w:cs="Times New Roman"/>
                <w:sz w:val="24"/>
                <w:szCs w:val="28"/>
              </w:rPr>
              <w:t>uos</w:t>
            </w:r>
            <w:r w:rsidRPr="00583273">
              <w:rPr>
                <w:rFonts w:ascii="Times New Roman" w:eastAsiaTheme="minorHAnsi" w:hAnsi="Times New Roman" w:cs="Times New Roman"/>
                <w:sz w:val="24"/>
                <w:szCs w:val="28"/>
              </w:rPr>
              <w:t>e;</w:t>
            </w:r>
          </w:p>
          <w:p w14:paraId="3042AAB8" w14:textId="360821CA" w:rsidR="00E203E0" w:rsidRPr="00583273" w:rsidRDefault="00E203E0" w:rsidP="00B93962">
            <w:pPr>
              <w:pStyle w:val="Sraopastraipa"/>
              <w:numPr>
                <w:ilvl w:val="0"/>
                <w:numId w:val="7"/>
              </w:numPr>
              <w:ind w:left="1170" w:hanging="259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lt-LT"/>
              </w:rPr>
            </w:pPr>
            <w:proofErr w:type="spellStart"/>
            <w:r w:rsidRPr="00583273">
              <w:rPr>
                <w:rFonts w:ascii="Times New Roman" w:eastAsiaTheme="minorHAnsi" w:hAnsi="Times New Roman" w:cs="Times New Roman"/>
                <w:sz w:val="24"/>
                <w:szCs w:val="28"/>
              </w:rPr>
              <w:t>Agluonų</w:t>
            </w:r>
            <w:proofErr w:type="spellEnd"/>
            <w:r w:rsidRPr="00583273">
              <w:rPr>
                <w:rFonts w:ascii="Times New Roman" w:eastAsiaTheme="minorHAnsi" w:hAnsi="Times New Roman" w:cs="Times New Roman"/>
                <w:sz w:val="24"/>
                <w:szCs w:val="28"/>
              </w:rPr>
              <w:t xml:space="preserve"> ir </w:t>
            </w:r>
            <w:proofErr w:type="spellStart"/>
            <w:r w:rsidRPr="00583273">
              <w:rPr>
                <w:rFonts w:ascii="Times New Roman" w:eastAsiaTheme="minorHAnsi" w:hAnsi="Times New Roman" w:cs="Times New Roman"/>
                <w:sz w:val="24"/>
                <w:szCs w:val="28"/>
              </w:rPr>
              <w:t>Kairiškių</w:t>
            </w:r>
            <w:proofErr w:type="spellEnd"/>
            <w:r w:rsidRPr="00583273">
              <w:rPr>
                <w:rFonts w:ascii="Times New Roman" w:eastAsiaTheme="minorHAnsi" w:hAnsi="Times New Roman" w:cs="Times New Roman"/>
                <w:sz w:val="24"/>
                <w:szCs w:val="28"/>
              </w:rPr>
              <w:t xml:space="preserve"> daugiafunkcių centrų veikla</w:t>
            </w:r>
            <w:r w:rsidR="00610E64" w:rsidRPr="00583273">
              <w:rPr>
                <w:rFonts w:ascii="Times New Roman" w:eastAsiaTheme="minorHAnsi" w:hAnsi="Times New Roman" w:cs="Times New Roman"/>
                <w:sz w:val="24"/>
                <w:szCs w:val="28"/>
              </w:rPr>
              <w:t>.</w:t>
            </w:r>
          </w:p>
          <w:p w14:paraId="43FEDB85" w14:textId="77777777" w:rsidR="002D385C" w:rsidRPr="00583273" w:rsidRDefault="00610E64" w:rsidP="00B93962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203E0" w:rsidRPr="00583273">
              <w:rPr>
                <w:rFonts w:ascii="Times New Roman" w:hAnsi="Times New Roman" w:cs="Times New Roman"/>
                <w:sz w:val="24"/>
                <w:szCs w:val="24"/>
              </w:rPr>
              <w:t>rojektinė veikla:</w:t>
            </w:r>
          </w:p>
          <w:p w14:paraId="25B89892" w14:textId="77777777" w:rsidR="002D385C" w:rsidRPr="00583273" w:rsidRDefault="00E203E0" w:rsidP="00B93962">
            <w:pPr>
              <w:pStyle w:val="Sraopastraipa"/>
              <w:numPr>
                <w:ilvl w:val="0"/>
                <w:numId w:val="1"/>
              </w:numPr>
              <w:ind w:left="1170" w:hanging="21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83273">
              <w:rPr>
                <w:rFonts w:ascii="Times New Roman" w:eastAsiaTheme="minorHAnsi" w:hAnsi="Times New Roman" w:cs="Times New Roman"/>
                <w:sz w:val="24"/>
                <w:szCs w:val="28"/>
              </w:rPr>
              <w:t>ESF projektas „Senjorai mokosi</w:t>
            </w:r>
            <w:r w:rsidRPr="00583273">
              <w:rPr>
                <w:rFonts w:ascii="Times New Roman" w:eastAsiaTheme="minorHAnsi" w:hAnsi="Times New Roman" w:cs="Times New Roman"/>
                <w:sz w:val="24"/>
                <w:szCs w:val="28"/>
                <w:lang w:eastAsia="lt-LT"/>
              </w:rPr>
              <w:t xml:space="preserve">: iš praeities į ateitį“, Nr. </w:t>
            </w:r>
            <w:r w:rsidRPr="00583273">
              <w:rPr>
                <w:rFonts w:ascii="Times New Roman" w:eastAsiaTheme="minorHAnsi" w:hAnsi="Times New Roman" w:cs="Times New Roman"/>
                <w:sz w:val="24"/>
                <w:szCs w:val="28"/>
              </w:rPr>
              <w:t>08.6.1-ESFA-T-927-01-0116</w:t>
            </w:r>
            <w:r w:rsidR="00CD424F" w:rsidRPr="00583273">
              <w:rPr>
                <w:rFonts w:ascii="Times New Roman" w:eastAsiaTheme="minorHAnsi" w:hAnsi="Times New Roman" w:cs="Times New Roman"/>
                <w:sz w:val="24"/>
                <w:szCs w:val="28"/>
              </w:rPr>
              <w:t xml:space="preserve"> (pagrindinis pareiškėjas)</w:t>
            </w:r>
            <w:r w:rsidRPr="00583273">
              <w:rPr>
                <w:rFonts w:ascii="Times New Roman" w:eastAsiaTheme="minorHAnsi" w:hAnsi="Times New Roman" w:cs="Times New Roman"/>
                <w:sz w:val="24"/>
                <w:szCs w:val="28"/>
                <w:lang w:eastAsia="lt-LT"/>
              </w:rPr>
              <w:t>;</w:t>
            </w:r>
          </w:p>
          <w:p w14:paraId="09C14E3D" w14:textId="77777777" w:rsidR="002D385C" w:rsidRPr="00583273" w:rsidRDefault="006C49E0" w:rsidP="00B93962">
            <w:pPr>
              <w:pStyle w:val="Sraopastraipa"/>
              <w:numPr>
                <w:ilvl w:val="0"/>
                <w:numId w:val="1"/>
              </w:numPr>
              <w:ind w:left="1170" w:hanging="21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83273">
              <w:rPr>
                <w:rFonts w:ascii="Times New Roman" w:eastAsiaTheme="minorHAnsi" w:hAnsi="Times New Roman" w:cs="Times New Roman"/>
                <w:sz w:val="24"/>
                <w:szCs w:val="28"/>
              </w:rPr>
              <w:t xml:space="preserve">ESF projekto </w:t>
            </w:r>
            <w:r w:rsidR="00A774CC" w:rsidRPr="00583273">
              <w:rPr>
                <w:rFonts w:ascii="Times New Roman" w:eastAsiaTheme="minorHAnsi" w:hAnsi="Times New Roman" w:cs="Times New Roman"/>
                <w:sz w:val="24"/>
                <w:szCs w:val="28"/>
              </w:rPr>
              <w:t>„Tarptautinis mobilumas kaip plėtros galimybė“ (</w:t>
            </w:r>
            <w:proofErr w:type="spellStart"/>
            <w:r w:rsidR="005C4A6F" w:rsidRPr="00583273">
              <w:rPr>
                <w:rFonts w:ascii="Times New Roman" w:eastAsiaTheme="minorHAnsi" w:hAnsi="Times New Roman" w:cs="Times New Roman"/>
                <w:sz w:val="24"/>
                <w:szCs w:val="28"/>
              </w:rPr>
              <w:t>Koninas</w:t>
            </w:r>
            <w:proofErr w:type="spellEnd"/>
            <w:r w:rsidR="005C4A6F" w:rsidRPr="00583273">
              <w:rPr>
                <w:rFonts w:ascii="Times New Roman" w:eastAsiaTheme="minorHAnsi" w:hAnsi="Times New Roman" w:cs="Times New Roman"/>
                <w:sz w:val="24"/>
                <w:szCs w:val="28"/>
              </w:rPr>
              <w:t xml:space="preserve">, </w:t>
            </w:r>
            <w:r w:rsidR="00A774CC" w:rsidRPr="00583273">
              <w:rPr>
                <w:rFonts w:ascii="Times New Roman" w:eastAsiaTheme="minorHAnsi" w:hAnsi="Times New Roman" w:cs="Times New Roman"/>
                <w:sz w:val="24"/>
                <w:szCs w:val="28"/>
              </w:rPr>
              <w:t>Lenkija)</w:t>
            </w:r>
            <w:r w:rsidR="005F028B" w:rsidRPr="00583273">
              <w:rPr>
                <w:rFonts w:ascii="Times New Roman" w:eastAsiaTheme="minorHAnsi" w:hAnsi="Times New Roman" w:cs="Times New Roman"/>
                <w:sz w:val="24"/>
                <w:szCs w:val="28"/>
              </w:rPr>
              <w:t>;</w:t>
            </w:r>
          </w:p>
          <w:p w14:paraId="7172E03F" w14:textId="77777777" w:rsidR="002D385C" w:rsidRPr="00583273" w:rsidRDefault="00997DA9" w:rsidP="00B93962">
            <w:pPr>
              <w:pStyle w:val="Sraopastraipa"/>
              <w:numPr>
                <w:ilvl w:val="0"/>
                <w:numId w:val="1"/>
              </w:numPr>
              <w:ind w:left="1170" w:hanging="21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83273">
              <w:rPr>
                <w:rFonts w:ascii="Times New Roman" w:eastAsiaTheme="minorHAnsi" w:hAnsi="Times New Roman" w:cs="Times New Roman"/>
                <w:sz w:val="24"/>
                <w:szCs w:val="28"/>
              </w:rPr>
              <w:t>Akmenės rajono savivaldybės visuomenės sveikatos rėmimo specialiosios programos projektas „Pradėję gyventi sveikiau – nesustokime“;</w:t>
            </w:r>
          </w:p>
          <w:p w14:paraId="1A1556E4" w14:textId="0CAA0447" w:rsidR="00610E64" w:rsidRPr="00583273" w:rsidRDefault="00997DA9" w:rsidP="00B93962">
            <w:pPr>
              <w:pStyle w:val="Sraopastraipa"/>
              <w:numPr>
                <w:ilvl w:val="0"/>
                <w:numId w:val="1"/>
              </w:numPr>
              <w:ind w:left="1170" w:hanging="21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83273">
              <w:rPr>
                <w:rFonts w:ascii="Times New Roman" w:eastAsiaTheme="minorHAnsi" w:hAnsi="Times New Roman" w:cs="Times New Roman"/>
                <w:sz w:val="24"/>
                <w:szCs w:val="28"/>
              </w:rPr>
              <w:t>Akmenės rajono savivaldybės neformaliojo suaugusiųjų švietimo ir tęstinio mokymosi programos projektas „Šuolis per metų tiltus“</w:t>
            </w:r>
            <w:r w:rsidR="006C49E0" w:rsidRPr="00583273">
              <w:rPr>
                <w:rFonts w:ascii="Times New Roman" w:eastAsiaTheme="minorHAnsi" w:hAnsi="Times New Roman" w:cs="Times New Roman"/>
                <w:sz w:val="24"/>
                <w:szCs w:val="28"/>
              </w:rPr>
              <w:t>.</w:t>
            </w:r>
          </w:p>
          <w:p w14:paraId="0ADE91C7" w14:textId="3CE403F7" w:rsidR="00A94412" w:rsidRDefault="000560B0" w:rsidP="00B93962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Centre veikia:</w:t>
            </w:r>
            <w:r w:rsidR="000C46BB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Mokytojų ir pagalbos mokiniui specialistų (išskyrus psichologus) atestacijos </w:t>
            </w:r>
            <w:r w:rsidR="000C46BB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ir Kvalifikacijos tobulinimo programų akreditavimo </w:t>
            </w:r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komisij</w:t>
            </w:r>
            <w:r w:rsidR="000C46BB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os.</w:t>
            </w:r>
          </w:p>
          <w:p w14:paraId="35342876" w14:textId="77777777" w:rsidR="00B93962" w:rsidRPr="00B93962" w:rsidRDefault="00B93962" w:rsidP="00B93962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6D363796" w14:textId="2E97A696" w:rsidR="009D5C65" w:rsidRPr="00583273" w:rsidRDefault="00956F0E" w:rsidP="00143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Centro darbuotojai</w:t>
            </w:r>
            <w:r w:rsidR="004A48C4" w:rsidRPr="005832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:</w:t>
            </w:r>
          </w:p>
          <w:tbl>
            <w:tblPr>
              <w:tblStyle w:val="Lentelstinklelis"/>
              <w:tblW w:w="0" w:type="auto"/>
              <w:tblInd w:w="598" w:type="dxa"/>
              <w:tblLook w:val="04A0" w:firstRow="1" w:lastRow="0" w:firstColumn="1" w:lastColumn="0" w:noHBand="0" w:noVBand="1"/>
            </w:tblPr>
            <w:tblGrid>
              <w:gridCol w:w="4678"/>
              <w:gridCol w:w="1843"/>
              <w:gridCol w:w="1701"/>
            </w:tblGrid>
            <w:tr w:rsidR="009E068F" w:rsidRPr="00583273" w14:paraId="0C4966BC" w14:textId="77777777" w:rsidTr="005B128A">
              <w:tc>
                <w:tcPr>
                  <w:tcW w:w="4678" w:type="dxa"/>
                </w:tcPr>
                <w:p w14:paraId="0D7CDC9F" w14:textId="77777777" w:rsidR="009E068F" w:rsidRPr="00583273" w:rsidRDefault="009E068F" w:rsidP="00143F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1843" w:type="dxa"/>
                </w:tcPr>
                <w:p w14:paraId="28C098FB" w14:textId="5330AD80" w:rsidR="009E068F" w:rsidRPr="00583273" w:rsidRDefault="009E068F" w:rsidP="00143F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83273"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  <w:t>2021-01-01</w:t>
                  </w:r>
                </w:p>
              </w:tc>
              <w:tc>
                <w:tcPr>
                  <w:tcW w:w="1701" w:type="dxa"/>
                </w:tcPr>
                <w:p w14:paraId="7FB98C54" w14:textId="061BC798" w:rsidR="009E068F" w:rsidRPr="00583273" w:rsidRDefault="009E068F" w:rsidP="00143F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83273"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  <w:t>2021-09-01</w:t>
                  </w:r>
                </w:p>
              </w:tc>
            </w:tr>
            <w:tr w:rsidR="009E068F" w:rsidRPr="00583273" w14:paraId="017882CC" w14:textId="77777777" w:rsidTr="005B128A">
              <w:tc>
                <w:tcPr>
                  <w:tcW w:w="4678" w:type="dxa"/>
                </w:tcPr>
                <w:p w14:paraId="4ED3A612" w14:textId="7E390906" w:rsidR="009E068F" w:rsidRPr="00583273" w:rsidRDefault="005B128A" w:rsidP="00143F4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83273"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  <w:t>A</w:t>
                  </w:r>
                  <w:r w:rsidR="009E068F" w:rsidRPr="00583273"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  <w:t>dministracijos darbuotojai</w:t>
                  </w:r>
                </w:p>
              </w:tc>
              <w:tc>
                <w:tcPr>
                  <w:tcW w:w="1843" w:type="dxa"/>
                </w:tcPr>
                <w:p w14:paraId="76F6E348" w14:textId="6D1C1B1F" w:rsidR="009E068F" w:rsidRPr="00583273" w:rsidRDefault="009E068F" w:rsidP="00143F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83273"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14:paraId="787A28B4" w14:textId="2D90A2EE" w:rsidR="009E068F" w:rsidRPr="00583273" w:rsidRDefault="005B128A" w:rsidP="00143F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83273"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  <w:t>4</w:t>
                  </w:r>
                </w:p>
              </w:tc>
            </w:tr>
            <w:tr w:rsidR="009E068F" w:rsidRPr="00583273" w14:paraId="1619FC35" w14:textId="77777777" w:rsidTr="005B128A">
              <w:tc>
                <w:tcPr>
                  <w:tcW w:w="4678" w:type="dxa"/>
                </w:tcPr>
                <w:p w14:paraId="3EBD477B" w14:textId="2EE40CEE" w:rsidR="009E068F" w:rsidRPr="00583273" w:rsidRDefault="005B128A" w:rsidP="00143F4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83273"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  <w:t>Š</w:t>
                  </w:r>
                  <w:r w:rsidR="009E068F" w:rsidRPr="00583273"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  <w:t>vietimo pagalbos specialistai</w:t>
                  </w:r>
                </w:p>
              </w:tc>
              <w:tc>
                <w:tcPr>
                  <w:tcW w:w="1843" w:type="dxa"/>
                </w:tcPr>
                <w:p w14:paraId="073E73E6" w14:textId="6A495C7C" w:rsidR="009E068F" w:rsidRPr="00583273" w:rsidRDefault="009E068F" w:rsidP="00143F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83273"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14:paraId="01F10358" w14:textId="7DD0D8F4" w:rsidR="009E068F" w:rsidRPr="00583273" w:rsidRDefault="005B128A" w:rsidP="00143F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83273"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  <w:t>3</w:t>
                  </w:r>
                </w:p>
              </w:tc>
            </w:tr>
            <w:tr w:rsidR="009E068F" w:rsidRPr="00583273" w14:paraId="654204ED" w14:textId="77777777" w:rsidTr="005B128A">
              <w:tc>
                <w:tcPr>
                  <w:tcW w:w="4678" w:type="dxa"/>
                </w:tcPr>
                <w:p w14:paraId="10337004" w14:textId="32BE113C" w:rsidR="009E068F" w:rsidRPr="00583273" w:rsidRDefault="005B128A" w:rsidP="00143F4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83273"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  <w:t>P</w:t>
                  </w:r>
                  <w:r w:rsidR="009E068F" w:rsidRPr="00583273"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  <w:t>edagoginiai darbuotojai</w:t>
                  </w:r>
                </w:p>
              </w:tc>
              <w:tc>
                <w:tcPr>
                  <w:tcW w:w="1843" w:type="dxa"/>
                </w:tcPr>
                <w:p w14:paraId="7DED460C" w14:textId="5D52DDBD" w:rsidR="009E068F" w:rsidRPr="00583273" w:rsidRDefault="005B128A" w:rsidP="00143F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83273"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  <w:t>34</w:t>
                  </w:r>
                </w:p>
              </w:tc>
              <w:tc>
                <w:tcPr>
                  <w:tcW w:w="1701" w:type="dxa"/>
                </w:tcPr>
                <w:p w14:paraId="12A529D1" w14:textId="2FA763F1" w:rsidR="009E068F" w:rsidRPr="00583273" w:rsidRDefault="00E91EC1" w:rsidP="00143F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83273"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  <w:t>32</w:t>
                  </w:r>
                </w:p>
              </w:tc>
            </w:tr>
            <w:tr w:rsidR="009E068F" w:rsidRPr="00583273" w14:paraId="66032F64" w14:textId="77777777" w:rsidTr="005B128A">
              <w:tc>
                <w:tcPr>
                  <w:tcW w:w="4678" w:type="dxa"/>
                </w:tcPr>
                <w:p w14:paraId="291E169E" w14:textId="4E13C469" w:rsidR="009E068F" w:rsidRPr="00583273" w:rsidRDefault="005B128A" w:rsidP="00143F4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83273"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  <w:t>T</w:t>
                  </w:r>
                  <w:r w:rsidR="009E068F" w:rsidRPr="00583273"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  <w:t>echninio personalo ir ūkio darbuotojai</w:t>
                  </w:r>
                </w:p>
              </w:tc>
              <w:tc>
                <w:tcPr>
                  <w:tcW w:w="1843" w:type="dxa"/>
                </w:tcPr>
                <w:p w14:paraId="30C3D54F" w14:textId="24CCBF0D" w:rsidR="009E068F" w:rsidRPr="00583273" w:rsidRDefault="00DA3BF9" w:rsidP="00143F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83273"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  <w:t>15</w:t>
                  </w:r>
                </w:p>
              </w:tc>
              <w:tc>
                <w:tcPr>
                  <w:tcW w:w="1701" w:type="dxa"/>
                </w:tcPr>
                <w:p w14:paraId="63DB100A" w14:textId="6DEA7BF3" w:rsidR="009E068F" w:rsidRPr="00583273" w:rsidRDefault="00DA3BF9" w:rsidP="00143F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83273"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  <w:t>15</w:t>
                  </w:r>
                </w:p>
              </w:tc>
            </w:tr>
          </w:tbl>
          <w:p w14:paraId="38489EA1" w14:textId="77777777" w:rsidR="002D385C" w:rsidRPr="00583273" w:rsidRDefault="00301537" w:rsidP="00B93962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Finansinę ir ūkinę veiklą Centras planuoja rengdamas mokinio krepšelio, aplinkos, specialiųjų ir </w:t>
            </w:r>
            <w:r w:rsidR="00777DAC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kitų</w:t>
            </w:r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lėšų panaudojimo sąmatas. </w:t>
            </w:r>
          </w:p>
          <w:p w14:paraId="606880B6" w14:textId="77777777" w:rsidR="009E11B5" w:rsidRPr="00583273" w:rsidRDefault="00577B40" w:rsidP="00B93962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2021 metais buvo įsigyta 13 Adobe </w:t>
            </w:r>
            <w:proofErr w:type="spellStart"/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Connect</w:t>
            </w:r>
            <w:proofErr w:type="spellEnd"/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programos licencijų, ilgalaikio turto ir kitų mokymo priemonių.</w:t>
            </w:r>
          </w:p>
          <w:p w14:paraId="1BE3E2C5" w14:textId="1990BB27" w:rsidR="00956F0E" w:rsidRPr="00583273" w:rsidRDefault="00DA3BF9" w:rsidP="00B93962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2021 m. rugsėjo 1 d. Centre mokėsi 434 mokiniai</w:t>
            </w:r>
            <w:r w:rsidR="00152D9D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52D9D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</w:t>
            </w:r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uvo suformuota 15 klasių komplektų, iš jų vienas – socialinių įgūdžių ugdymo klasė. </w:t>
            </w:r>
            <w:r w:rsidR="009D5C65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Vidutinis mokinių skaičius klasėje – 28,9. </w:t>
            </w:r>
          </w:p>
          <w:p w14:paraId="6C9DF149" w14:textId="1183DC20" w:rsidR="00B25DCB" w:rsidRPr="00583273" w:rsidRDefault="00B25DCB" w:rsidP="00143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0AA07DE9" w14:textId="37CFA029" w:rsidR="00A83A5C" w:rsidRPr="00583273" w:rsidRDefault="00A83A5C" w:rsidP="00A83A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Pažymėjimų išdavimas</w:t>
            </w:r>
            <w:r w:rsidR="002C207B" w:rsidRPr="005832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2021 metais</w:t>
            </w: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3717"/>
              <w:gridCol w:w="1057"/>
              <w:gridCol w:w="3621"/>
              <w:gridCol w:w="1154"/>
            </w:tblGrid>
            <w:tr w:rsidR="00A83A5C" w:rsidRPr="00583273" w14:paraId="53F76515" w14:textId="77777777" w:rsidTr="00E02FD5">
              <w:tc>
                <w:tcPr>
                  <w:tcW w:w="4774" w:type="dxa"/>
                  <w:gridSpan w:val="2"/>
                </w:tcPr>
                <w:p w14:paraId="26CBA88D" w14:textId="6611E9AD" w:rsidR="00A83A5C" w:rsidRPr="00583273" w:rsidRDefault="00A83A5C" w:rsidP="00A83A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83273"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  <w:t>10 (II gimnazijos) klasė</w:t>
                  </w:r>
                </w:p>
              </w:tc>
              <w:tc>
                <w:tcPr>
                  <w:tcW w:w="4775" w:type="dxa"/>
                  <w:gridSpan w:val="2"/>
                </w:tcPr>
                <w:p w14:paraId="27A7305F" w14:textId="4587D644" w:rsidR="00A83A5C" w:rsidRPr="00583273" w:rsidRDefault="00A83A5C" w:rsidP="00A83A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83273"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  <w:t>12 (IV gimnazijos) klasė</w:t>
                  </w:r>
                </w:p>
              </w:tc>
            </w:tr>
            <w:tr w:rsidR="00A83A5C" w:rsidRPr="00583273" w14:paraId="79FD63DD" w14:textId="77777777" w:rsidTr="00A83A5C">
              <w:tc>
                <w:tcPr>
                  <w:tcW w:w="3717" w:type="dxa"/>
                </w:tcPr>
                <w:p w14:paraId="54EDB5C9" w14:textId="084A5989" w:rsidR="00A83A5C" w:rsidRPr="00583273" w:rsidRDefault="00A83A5C" w:rsidP="00A83A5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83273"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  <w:t>Pagrindinio išsilavinimas pažymėjimai</w:t>
                  </w:r>
                </w:p>
              </w:tc>
              <w:tc>
                <w:tcPr>
                  <w:tcW w:w="1057" w:type="dxa"/>
                </w:tcPr>
                <w:p w14:paraId="3E63D415" w14:textId="6F3CFF05" w:rsidR="00A83A5C" w:rsidRPr="00583273" w:rsidRDefault="00A83A5C" w:rsidP="00A83A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83273"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  <w:t>44</w:t>
                  </w:r>
                </w:p>
              </w:tc>
              <w:tc>
                <w:tcPr>
                  <w:tcW w:w="3621" w:type="dxa"/>
                </w:tcPr>
                <w:p w14:paraId="16CC1155" w14:textId="4AAB138B" w:rsidR="00A83A5C" w:rsidRPr="00583273" w:rsidRDefault="00A83A5C" w:rsidP="00A83A5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83273"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  <w:t>Brandos atestatai ir jų priedai</w:t>
                  </w:r>
                </w:p>
              </w:tc>
              <w:tc>
                <w:tcPr>
                  <w:tcW w:w="1154" w:type="dxa"/>
                </w:tcPr>
                <w:p w14:paraId="2DC1AC57" w14:textId="0E35906E" w:rsidR="00A83A5C" w:rsidRPr="00583273" w:rsidRDefault="00A83A5C" w:rsidP="00A83A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83273"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  <w:t>89</w:t>
                  </w:r>
                </w:p>
              </w:tc>
            </w:tr>
            <w:tr w:rsidR="002C207B" w:rsidRPr="00583273" w14:paraId="635EC54D" w14:textId="77777777" w:rsidTr="00A83A5C">
              <w:tc>
                <w:tcPr>
                  <w:tcW w:w="3717" w:type="dxa"/>
                  <w:vMerge w:val="restart"/>
                </w:tcPr>
                <w:p w14:paraId="08ED0276" w14:textId="6D77F2D5" w:rsidR="002C207B" w:rsidRPr="00583273" w:rsidRDefault="002C207B" w:rsidP="00A83A5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83273"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  <w:t>Mokymosi pasiekimų pažymėjimai (baigusiems pagrindinio ugdymo programą)</w:t>
                  </w:r>
                </w:p>
              </w:tc>
              <w:tc>
                <w:tcPr>
                  <w:tcW w:w="1057" w:type="dxa"/>
                  <w:vMerge w:val="restart"/>
                </w:tcPr>
                <w:p w14:paraId="07840F02" w14:textId="162171B1" w:rsidR="002C207B" w:rsidRPr="00583273" w:rsidRDefault="002C207B" w:rsidP="00A83A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83273"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  <w:t>26</w:t>
                  </w:r>
                </w:p>
              </w:tc>
              <w:tc>
                <w:tcPr>
                  <w:tcW w:w="3621" w:type="dxa"/>
                </w:tcPr>
                <w:p w14:paraId="704084A8" w14:textId="468E70FC" w:rsidR="002C207B" w:rsidRPr="00583273" w:rsidRDefault="002C207B" w:rsidP="00A83A5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83273"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  <w:t>Brandos atestatai ir jų priedų dublikatai</w:t>
                  </w:r>
                </w:p>
              </w:tc>
              <w:tc>
                <w:tcPr>
                  <w:tcW w:w="1154" w:type="dxa"/>
                </w:tcPr>
                <w:p w14:paraId="762E256D" w14:textId="61915002" w:rsidR="002C207B" w:rsidRPr="00583273" w:rsidRDefault="002C207B" w:rsidP="00A83A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83273"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  <w:t>4</w:t>
                  </w:r>
                </w:p>
              </w:tc>
            </w:tr>
            <w:tr w:rsidR="002C207B" w:rsidRPr="00583273" w14:paraId="01122A09" w14:textId="77777777" w:rsidTr="00A83A5C">
              <w:tc>
                <w:tcPr>
                  <w:tcW w:w="3717" w:type="dxa"/>
                  <w:vMerge/>
                </w:tcPr>
                <w:p w14:paraId="45C3FACE" w14:textId="77777777" w:rsidR="002C207B" w:rsidRPr="00583273" w:rsidRDefault="002C207B" w:rsidP="00A83A5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1057" w:type="dxa"/>
                  <w:vMerge/>
                </w:tcPr>
                <w:p w14:paraId="0A7996E4" w14:textId="77777777" w:rsidR="002C207B" w:rsidRPr="00583273" w:rsidRDefault="002C207B" w:rsidP="00A83A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3621" w:type="dxa"/>
                </w:tcPr>
                <w:p w14:paraId="759E6B70" w14:textId="36C9BBC2" w:rsidR="002C207B" w:rsidRPr="00583273" w:rsidRDefault="002C207B" w:rsidP="00A83A5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8327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Brandos atestatai, jų priedai ir brandos atestatų (diplomų) priedai (buvusiems mokiniams ir eksternams) </w:t>
                  </w:r>
                </w:p>
              </w:tc>
              <w:tc>
                <w:tcPr>
                  <w:tcW w:w="1154" w:type="dxa"/>
                </w:tcPr>
                <w:p w14:paraId="598C93E2" w14:textId="7434E1AF" w:rsidR="002C207B" w:rsidRPr="00583273" w:rsidRDefault="002C207B" w:rsidP="00A83A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83273"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  <w:t>5</w:t>
                  </w:r>
                </w:p>
              </w:tc>
            </w:tr>
            <w:tr w:rsidR="002C207B" w:rsidRPr="00583273" w14:paraId="5D00C286" w14:textId="77777777" w:rsidTr="00A83A5C">
              <w:tc>
                <w:tcPr>
                  <w:tcW w:w="3717" w:type="dxa"/>
                  <w:vMerge/>
                </w:tcPr>
                <w:p w14:paraId="30E34215" w14:textId="77777777" w:rsidR="002C207B" w:rsidRPr="00583273" w:rsidRDefault="002C207B" w:rsidP="00A83A5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1057" w:type="dxa"/>
                  <w:vMerge/>
                </w:tcPr>
                <w:p w14:paraId="196AFCEB" w14:textId="77777777" w:rsidR="002C207B" w:rsidRPr="00583273" w:rsidRDefault="002C207B" w:rsidP="00A83A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3621" w:type="dxa"/>
                </w:tcPr>
                <w:p w14:paraId="387587D2" w14:textId="11332165" w:rsidR="002C207B" w:rsidRPr="00583273" w:rsidRDefault="002C207B" w:rsidP="00A83A5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83273"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  <w:t>Mokymosi pasiekimų pažymėjimai (baigusiems vidurinio ugdymo programą)</w:t>
                  </w:r>
                </w:p>
              </w:tc>
              <w:tc>
                <w:tcPr>
                  <w:tcW w:w="1154" w:type="dxa"/>
                </w:tcPr>
                <w:p w14:paraId="0FE84737" w14:textId="76CBFAE6" w:rsidR="002C207B" w:rsidRPr="00583273" w:rsidRDefault="002C207B" w:rsidP="00A83A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83273"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  <w:t>76</w:t>
                  </w:r>
                </w:p>
              </w:tc>
            </w:tr>
          </w:tbl>
          <w:p w14:paraId="219AC1D7" w14:textId="77777777" w:rsidR="00A83A5C" w:rsidRPr="00583273" w:rsidRDefault="00A83A5C" w:rsidP="00143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3B2A3D09" w14:textId="77777777" w:rsidR="009E11B5" w:rsidRPr="00583273" w:rsidRDefault="00DA3BF9" w:rsidP="009E11B5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Centre mok</w:t>
            </w:r>
            <w:r w:rsidR="004B6B7F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ė</w:t>
            </w:r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si 22 specialiųjų poreikių</w:t>
            </w:r>
            <w:r w:rsidR="00FB15AA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turintys</w:t>
            </w:r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mokiniai, vienas iš jų </w:t>
            </w:r>
            <w:r w:rsidR="007411EC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buvo </w:t>
            </w:r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mokomas namuose. </w:t>
            </w:r>
            <w:r w:rsidR="009F7E14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6B0C28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ocialinių įgūdžių ugdymo klasės mokin</w:t>
            </w:r>
            <w:r w:rsidR="009F7E14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iai</w:t>
            </w:r>
            <w:r w:rsidR="006B0C28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dalyvavo </w:t>
            </w:r>
            <w:r w:rsidR="00522028" w:rsidRPr="00583273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>Tauragės r. Skaudvilės ugdymo ir vaiko gerovės centro organizuojamame respublikiniame specialiųjų ugdymosi poreikių turinčių mokinių piešinių konkurse „Piešiu gyvenimą“</w:t>
            </w:r>
            <w:r w:rsidR="006B0C28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  <w:r w:rsidR="009F7E14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viena iš jų </w:t>
            </w:r>
            <w:r w:rsidR="006B0C28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tapo laureate.</w:t>
            </w:r>
          </w:p>
          <w:p w14:paraId="62153F2C" w14:textId="77777777" w:rsidR="009E11B5" w:rsidRPr="00583273" w:rsidRDefault="00EE38FA" w:rsidP="009E11B5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Centras s</w:t>
            </w:r>
            <w:r w:rsidRPr="005832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udaro sąlygas nepritapusiems, mokymosi motyvacijos stokojantiems ar dėl kitų socialinių-ekonominių priežasčių bendrojo lavinimo mokyklų nelankantiems vaikams ir jaunuoliams tęsti mokymąsi, padėti keisti gyvenimo būdą, suteikti galimybę kuo sėkmingiau socialiai integruotis į visuomenę. 2021 m. rugsėjo 1 d. Centre mokėsi 65 nepilnamečiai: iš jų 3 vykdoma minimali priežiūros priemonė, 9 teikiama socialinė parama. 80 procentų </w:t>
            </w:r>
            <w:r w:rsidR="00301537" w:rsidRPr="005832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Centro </w:t>
            </w:r>
            <w:r w:rsidRPr="005832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nepilnamečių priklauso rizikos grupei</w:t>
            </w:r>
            <w:r w:rsidR="00301537" w:rsidRPr="005832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su kuria nuolat ir intensyviai dirba socialinis pedagogas, VGK, aktyviai bendradarbiaujama su kitomis suinteresuotomis institucijomis.</w:t>
            </w:r>
            <w:r w:rsidR="009E11B5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D5C65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12 mokinių </w:t>
            </w:r>
            <w:r w:rsidR="009F7E14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buvo </w:t>
            </w:r>
            <w:r w:rsidR="009D5C65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teikiama socialinė parama (nemokamas maitinimas).</w:t>
            </w:r>
          </w:p>
          <w:p w14:paraId="429C440D" w14:textId="77777777" w:rsidR="009E11B5" w:rsidRPr="00583273" w:rsidRDefault="00F401D1" w:rsidP="009E11B5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Centras yra atsakingas už rajono mokinių dalykinių olimpiadų, konkursų ir kitų renginių organizavimą. Šios veiklos tikslas – sudaryti sąlygas aukštą motyvaciją turinčių mokinių gabumams ir kūrybiškumui atsiskleisti. Dėl Covid-19 pandemijos olimpiados 2021 metais buvo vykdomos nuotoliniu būdu. Iš viso įvyko 16 dalykinių olimpiadų ir konkursų</w:t>
            </w:r>
            <w:r w:rsidR="007411EC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dalyvavo 296 rajono moksleiviai.</w:t>
            </w:r>
            <w:r w:rsidR="007C3BCF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1639926A" w14:textId="77777777" w:rsidR="009E11B5" w:rsidRPr="00583273" w:rsidRDefault="004A3035" w:rsidP="009E11B5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Viena iš Centro vykdomų veiklų – </w:t>
            </w:r>
            <w:r w:rsidR="00FB15AA" w:rsidRPr="0058327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alstybinės lietuvių kalbos mokėjimo ir Lietuvos Respublikos Konstitucijos pagrindų egzaminų vykdymas. Per ataskaitinį laikotarpį 3 užsienio piliečiai sėkmingai išlaikė valstybinės lietuvių kalbos ir Lietuvos Respublikos Konstitucijos pagrindų egzaminus. Jiems buvo išduoti atitinkamos formos pažymėjimai. </w:t>
            </w:r>
          </w:p>
          <w:p w14:paraId="2605B185" w14:textId="77777777" w:rsidR="009E11B5" w:rsidRPr="00583273" w:rsidRDefault="004A3035" w:rsidP="009E11B5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Nuo 2021 m. rugsėjo 1 d. </w:t>
            </w:r>
            <w:r w:rsidR="00157D11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Centre </w:t>
            </w:r>
            <w:r w:rsidR="007411EC" w:rsidRPr="00583273">
              <w:rPr>
                <w:rFonts w:ascii="Times New Roman" w:hAnsi="Times New Roman" w:cs="Times New Roman"/>
                <w:sz w:val="24"/>
                <w:szCs w:val="24"/>
              </w:rPr>
              <w:t>vyksta</w:t>
            </w:r>
            <w:r w:rsidR="00157D11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lietuvių kalbos pamokos užsienio piliečiams, pageidaujantiems gyventi ir dirbti Lietuvoje. </w:t>
            </w:r>
            <w:r w:rsidR="002D615A" w:rsidRPr="00583273">
              <w:rPr>
                <w:rFonts w:ascii="Times New Roman" w:hAnsi="Times New Roman" w:cs="Times New Roman"/>
                <w:sz w:val="24"/>
                <w:szCs w:val="24"/>
              </w:rPr>
              <w:t>Lietuvių kalbos mokosi</w:t>
            </w:r>
            <w:r w:rsidR="00157D11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44A" w:rsidRPr="005832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D615A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asmenų</w:t>
            </w:r>
            <w:r w:rsidR="00157D11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5BB73C3" w14:textId="77777777" w:rsidR="009E11B5" w:rsidRPr="00583273" w:rsidRDefault="007D65CB" w:rsidP="009E11B5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Naujosios Akmenės</w:t>
            </w:r>
            <w:r w:rsidR="00C82053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Trečiojo amžiaus universitetas</w:t>
            </w: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EE2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(toliau – TAU) </w:t>
            </w:r>
            <w:r w:rsidR="00761062" w:rsidRPr="00583273">
              <w:rPr>
                <w:rFonts w:ascii="Times New Roman" w:hAnsi="Times New Roman" w:cs="Times New Roman"/>
                <w:sz w:val="24"/>
                <w:szCs w:val="24"/>
              </w:rPr>
              <w:t>įgyvendin</w:t>
            </w:r>
            <w:r w:rsidR="009F7E14" w:rsidRPr="0058327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82053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062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neformalią </w:t>
            </w:r>
            <w:r w:rsidR="00C82053" w:rsidRPr="00583273">
              <w:rPr>
                <w:rFonts w:ascii="Times New Roman" w:hAnsi="Times New Roman" w:cs="Times New Roman"/>
                <w:sz w:val="24"/>
                <w:szCs w:val="24"/>
              </w:rPr>
              <w:t>vyresnio amžiaus žmon</w:t>
            </w:r>
            <w:r w:rsidR="00761062" w:rsidRPr="00583273">
              <w:rPr>
                <w:rFonts w:ascii="Times New Roman" w:hAnsi="Times New Roman" w:cs="Times New Roman"/>
                <w:sz w:val="24"/>
                <w:szCs w:val="24"/>
              </w:rPr>
              <w:t>ių mokymosi visą gyvenimą strategiją</w:t>
            </w:r>
            <w:r w:rsidR="00FC57E8" w:rsidRPr="00583273">
              <w:rPr>
                <w:rFonts w:ascii="Times New Roman" w:hAnsi="Times New Roman" w:cs="Times New Roman"/>
                <w:sz w:val="24"/>
                <w:szCs w:val="24"/>
              </w:rPr>
              <w:t>, sprend</w:t>
            </w:r>
            <w:r w:rsidR="009F7E14" w:rsidRPr="00583273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FC57E8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pagyvenusių žmonių užimtumo problem</w:t>
            </w:r>
            <w:r w:rsidR="008325C5" w:rsidRPr="005832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C57E8" w:rsidRPr="00583273">
              <w:rPr>
                <w:rFonts w:ascii="Times New Roman" w:hAnsi="Times New Roman" w:cs="Times New Roman"/>
                <w:sz w:val="24"/>
                <w:szCs w:val="24"/>
              </w:rPr>
              <w:t>s, aktyvi</w:t>
            </w:r>
            <w:r w:rsidR="009F7E14" w:rsidRPr="00583273">
              <w:rPr>
                <w:rFonts w:ascii="Times New Roman" w:hAnsi="Times New Roman" w:cs="Times New Roman"/>
                <w:sz w:val="24"/>
                <w:szCs w:val="24"/>
              </w:rPr>
              <w:t>no tarpusavio</w:t>
            </w:r>
            <w:r w:rsidR="00FC57E8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bendravim</w:t>
            </w:r>
            <w:r w:rsidR="009F7E14" w:rsidRPr="00583273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761062" w:rsidRPr="00583273">
              <w:rPr>
                <w:rFonts w:ascii="Times New Roman" w:hAnsi="Times New Roman" w:cs="Times New Roman"/>
                <w:sz w:val="24"/>
                <w:szCs w:val="24"/>
              </w:rPr>
              <w:t>. 2021 metais universitetą lankė 170 klausytojų, kurių amžius svyra</w:t>
            </w:r>
            <w:r w:rsidR="00621EE2" w:rsidRPr="00583273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r w:rsidR="00761062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nuo 50 iki 90 metų</w:t>
            </w:r>
            <w:r w:rsidR="00F35099" w:rsidRPr="00583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062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TAU rektorate darbavosi 24 </w:t>
            </w:r>
            <w:r w:rsidR="00F35099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senjorai </w:t>
            </w:r>
            <w:r w:rsidR="00761062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savanoriai. Universiteto veiklos </w:t>
            </w:r>
            <w:r w:rsidR="00F35099" w:rsidRPr="00583273">
              <w:rPr>
                <w:rFonts w:ascii="Times New Roman" w:hAnsi="Times New Roman" w:cs="Times New Roman"/>
                <w:sz w:val="24"/>
                <w:szCs w:val="24"/>
              </w:rPr>
              <w:t>buvo</w:t>
            </w:r>
            <w:r w:rsidR="00761062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įgyvendinamos pagal klausytojų poreikius</w:t>
            </w:r>
            <w:r w:rsidR="00F35099" w:rsidRPr="00583273">
              <w:rPr>
                <w:rFonts w:ascii="Times New Roman" w:hAnsi="Times New Roman" w:cs="Times New Roman"/>
                <w:sz w:val="24"/>
                <w:szCs w:val="24"/>
              </w:rPr>
              <w:t>. Veikė 5</w:t>
            </w:r>
            <w:r w:rsidR="00761062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fakultet</w:t>
            </w:r>
            <w:r w:rsidR="00F35099" w:rsidRPr="00583273">
              <w:rPr>
                <w:rFonts w:ascii="Times New Roman" w:hAnsi="Times New Roman" w:cs="Times New Roman"/>
                <w:sz w:val="24"/>
                <w:szCs w:val="24"/>
              </w:rPr>
              <w:t>ai:</w:t>
            </w:r>
            <w:r w:rsidR="00621EE2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Turizmo ir kraštotyros, Kultūros, Užsienio kalbų, Sveikatos ir Menų</w:t>
            </w:r>
            <w:r w:rsidR="00761062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. Atskirų fakultetų </w:t>
            </w:r>
            <w:r w:rsidR="00621EE2" w:rsidRPr="00583273">
              <w:rPr>
                <w:rFonts w:ascii="Times New Roman" w:hAnsi="Times New Roman" w:cs="Times New Roman"/>
                <w:sz w:val="24"/>
                <w:szCs w:val="24"/>
              </w:rPr>
              <w:t>veikla apjungia vis</w:t>
            </w:r>
            <w:r w:rsidR="00F35099" w:rsidRPr="00583273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621EE2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TAU veiklos programą. Dalį </w:t>
            </w:r>
            <w:r w:rsidR="00F35099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fakultetų programų </w:t>
            </w:r>
            <w:r w:rsidR="00621EE2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modulių dėstė senjorai savanoriai (7 asmenys). </w:t>
            </w:r>
          </w:p>
          <w:p w14:paraId="11CB51F4" w14:textId="77777777" w:rsidR="009E11B5" w:rsidRPr="00583273" w:rsidRDefault="00F35099" w:rsidP="009E11B5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944AC" w:rsidRPr="00583273">
              <w:rPr>
                <w:rFonts w:ascii="Times New Roman" w:hAnsi="Times New Roman" w:cs="Times New Roman"/>
                <w:sz w:val="24"/>
                <w:szCs w:val="24"/>
              </w:rPr>
              <w:t>aikant</w:t>
            </w: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8944AC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kultūrin</w:t>
            </w: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r w:rsidR="008944AC" w:rsidRPr="00583273">
              <w:rPr>
                <w:rFonts w:ascii="Times New Roman" w:hAnsi="Times New Roman" w:cs="Times New Roman"/>
                <w:sz w:val="24"/>
                <w:szCs w:val="24"/>
              </w:rPr>
              <w:t>, istorin</w:t>
            </w: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r w:rsidR="008944AC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ir tautin</w:t>
            </w: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r w:rsidR="008944AC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tradicij</w:t>
            </w: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ų, </w:t>
            </w:r>
            <w:r w:rsidR="008944AC" w:rsidRPr="00583273">
              <w:rPr>
                <w:rFonts w:ascii="Times New Roman" w:hAnsi="Times New Roman" w:cs="Times New Roman"/>
                <w:sz w:val="24"/>
                <w:szCs w:val="24"/>
              </w:rPr>
              <w:t>TAU senjorų lėšomis buvo išle</w:t>
            </w: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944AC" w:rsidRPr="00583273">
              <w:rPr>
                <w:rFonts w:ascii="Times New Roman" w:hAnsi="Times New Roman" w:cs="Times New Roman"/>
                <w:sz w:val="24"/>
                <w:szCs w:val="24"/>
              </w:rPr>
              <w:t>stos 3 knygos: „Šviesa pro metų šydą“, „Ant vaišių stalo – įvairių tautų valgiai“ ir „Iš močiučių skryni</w:t>
            </w:r>
            <w:r w:rsidR="0087725C" w:rsidRPr="0058327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944AC" w:rsidRPr="00583273">
              <w:rPr>
                <w:rFonts w:ascii="Times New Roman" w:hAnsi="Times New Roman" w:cs="Times New Roman"/>
                <w:sz w:val="24"/>
                <w:szCs w:val="24"/>
              </w:rPr>
              <w:t>s“.</w:t>
            </w:r>
          </w:p>
          <w:p w14:paraId="08EE7016" w14:textId="77777777" w:rsidR="009E11B5" w:rsidRPr="00583273" w:rsidRDefault="008944AC" w:rsidP="009E11B5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Senjorai steng</w:t>
            </w:r>
            <w:r w:rsidR="00FD643B" w:rsidRPr="00583273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si įvairinti ir plėsti veiklas, dalintis sukaupta patirtimi, dalyvauti projektuose, </w:t>
            </w:r>
            <w:r w:rsidR="00FC5170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kūrybinėse dirbtuvėse, konkursuose, mokymuose, </w:t>
            </w:r>
            <w:proofErr w:type="spellStart"/>
            <w:r w:rsidR="00FC5170" w:rsidRPr="00583273">
              <w:rPr>
                <w:rFonts w:ascii="Times New Roman" w:hAnsi="Times New Roman" w:cs="Times New Roman"/>
                <w:sz w:val="24"/>
                <w:szCs w:val="24"/>
              </w:rPr>
              <w:t>protmūšiuose</w:t>
            </w:r>
            <w:proofErr w:type="spellEnd"/>
            <w:r w:rsidR="00FC5170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išvykose, susitikimuose, </w:t>
            </w:r>
            <w:r w:rsidR="00FC5170" w:rsidRPr="00583273">
              <w:rPr>
                <w:rFonts w:ascii="Times New Roman" w:hAnsi="Times New Roman" w:cs="Times New Roman"/>
                <w:sz w:val="24"/>
                <w:szCs w:val="24"/>
              </w:rPr>
              <w:t>įvairiose akcijose ir kt.</w:t>
            </w:r>
          </w:p>
          <w:p w14:paraId="52B983EF" w14:textId="338E890C" w:rsidR="009E11B5" w:rsidRPr="00583273" w:rsidRDefault="004B6B7F" w:rsidP="009E11B5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>Centre veikia jaunimo informavimo ir konsultavimo (</w:t>
            </w:r>
            <w:r w:rsidR="00A874F6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toliau </w:t>
            </w:r>
            <w:r w:rsidR="00641D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874F6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>JIK) taškas, kurio tikslas yra padėti jauniems žmonėms susiorientuoti</w:t>
            </w:r>
            <w:r w:rsidR="00FD643B" w:rsidRPr="00583273">
              <w:rPr>
                <w:rFonts w:ascii="Times New Roman" w:hAnsi="Times New Roman" w:cs="Times New Roman"/>
                <w:sz w:val="24"/>
                <w:szCs w:val="24"/>
              </w:rPr>
              <w:t>, susivokti</w:t>
            </w: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43B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įvairiose </w:t>
            </w: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jų gyvenimo </w:t>
            </w:r>
            <w:r w:rsidR="00FD643B" w:rsidRPr="00583273">
              <w:rPr>
                <w:rFonts w:ascii="Times New Roman" w:hAnsi="Times New Roman" w:cs="Times New Roman"/>
                <w:sz w:val="24"/>
                <w:szCs w:val="24"/>
              </w:rPr>
              <w:t>situacijose</w:t>
            </w: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ir skatinti savarankišką sprendimų priėmimą. Per 2021 metus </w:t>
            </w:r>
            <w:r w:rsidR="002D615A" w:rsidRPr="00583273">
              <w:rPr>
                <w:rFonts w:ascii="Times New Roman" w:hAnsi="Times New Roman" w:cs="Times New Roman"/>
                <w:sz w:val="24"/>
                <w:szCs w:val="24"/>
              </w:rPr>
              <w:t>įvyko</w:t>
            </w: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243 konsultacijos</w:t>
            </w:r>
            <w:r w:rsidR="00FD643B" w:rsidRPr="00583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95% konsultacijų vyko nuotoliniu būdu (telefonu ar el. paštu). Jaunuoliams dažniausiai kilo klausim</w:t>
            </w:r>
            <w:r w:rsidR="002D615A" w:rsidRPr="00583273">
              <w:rPr>
                <w:rFonts w:ascii="Times New Roman" w:hAnsi="Times New Roman" w:cs="Times New Roman"/>
                <w:sz w:val="24"/>
                <w:szCs w:val="24"/>
              </w:rPr>
              <w:t>ų,</w:t>
            </w: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susij</w:t>
            </w:r>
            <w:r w:rsidR="002D615A" w:rsidRPr="00583273">
              <w:rPr>
                <w:rFonts w:ascii="Times New Roman" w:hAnsi="Times New Roman" w:cs="Times New Roman"/>
                <w:sz w:val="24"/>
                <w:szCs w:val="24"/>
              </w:rPr>
              <w:t>usių</w:t>
            </w: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su Covid-19 pandemija, skiep</w:t>
            </w:r>
            <w:r w:rsidR="002D615A" w:rsidRPr="00583273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ir darbo problem</w:t>
            </w:r>
            <w:r w:rsidR="002D615A" w:rsidRPr="00583273">
              <w:rPr>
                <w:rFonts w:ascii="Times New Roman" w:hAnsi="Times New Roman" w:cs="Times New Roman"/>
                <w:sz w:val="24"/>
                <w:szCs w:val="24"/>
              </w:rPr>
              <w:t>omis</w:t>
            </w: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F08F79" w14:textId="052E2256" w:rsidR="009E11B5" w:rsidRPr="00583273" w:rsidRDefault="004B6B7F" w:rsidP="009E11B5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Centre veikia </w:t>
            </w:r>
            <w:proofErr w:type="spellStart"/>
            <w:r w:rsidRPr="00583273">
              <w:rPr>
                <w:rFonts w:ascii="Times New Roman" w:hAnsi="Times New Roman" w:cs="Times New Roman"/>
                <w:sz w:val="24"/>
                <w:szCs w:val="24"/>
              </w:rPr>
              <w:t>Eurodesk</w:t>
            </w:r>
            <w:proofErr w:type="spellEnd"/>
            <w:r w:rsidR="003B0D20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(tarptautinė organizacija)</w:t>
            </w:r>
            <w:r w:rsidR="0064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D20" w:rsidRPr="0058327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FD643B" w:rsidRPr="0058327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B0D20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veiklos esmė </w:t>
            </w:r>
            <w:r w:rsidR="009A6E59" w:rsidRPr="005832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43B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suteikti jaunuoliams </w:t>
            </w: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>informacijos apie</w:t>
            </w:r>
            <w:r w:rsidR="00FD643B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jaunimo iniciatyvų finansavimo programas</w:t>
            </w: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bei mobilum</w:t>
            </w:r>
            <w:r w:rsidR="00FD643B" w:rsidRPr="0058327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>s (studijos, stažuotės, darbas, savanorystė ir pan.) Europoje. Per 2021 m. suteiktos 125 nuotolinės konsultacijos stažuočių, savanorystės ir darbo klausimais.</w:t>
            </w:r>
          </w:p>
          <w:p w14:paraId="0F779D2E" w14:textId="77777777" w:rsidR="009E11B5" w:rsidRPr="00583273" w:rsidRDefault="00451AD7" w:rsidP="009E11B5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Akmenės rajono </w:t>
            </w: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jaunimo ir suaugusiųjų švietimo bei </w:t>
            </w:r>
            <w:proofErr w:type="spellStart"/>
            <w:r w:rsidRPr="00583273">
              <w:rPr>
                <w:rFonts w:ascii="Times New Roman" w:hAnsi="Times New Roman" w:cs="Times New Roman"/>
                <w:sz w:val="24"/>
                <w:szCs w:val="24"/>
              </w:rPr>
              <w:t>Agluonų</w:t>
            </w:r>
            <w:proofErr w:type="spellEnd"/>
            <w:r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daugiafunkciame centruose veik</w:t>
            </w:r>
            <w:r w:rsidR="00FD643B" w:rsidRPr="00583273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atviros jaunimo erdvės. Dėl Covid-19 </w:t>
            </w:r>
            <w:proofErr w:type="spellStart"/>
            <w:r w:rsidRPr="00583273">
              <w:rPr>
                <w:rFonts w:ascii="Times New Roman" w:hAnsi="Times New Roman" w:cs="Times New Roman"/>
                <w:sz w:val="24"/>
                <w:szCs w:val="24"/>
              </w:rPr>
              <w:t>pandeminės</w:t>
            </w:r>
            <w:proofErr w:type="spellEnd"/>
            <w:r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situacijos ši veikla nebuvo aktyviai vykdoma, nes buvo vengiama susibūrimų, mokymasis ir darbas vyko nuotoliniu būdu.</w:t>
            </w:r>
          </w:p>
          <w:p w14:paraId="0462B02F" w14:textId="77777777" w:rsidR="009E11B5" w:rsidRPr="00583273" w:rsidRDefault="00026034" w:rsidP="009E11B5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Pirmąjį 2021 metų pusmetį dėl sudėtingos </w:t>
            </w:r>
            <w:proofErr w:type="spellStart"/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pandeminės</w:t>
            </w:r>
            <w:proofErr w:type="spellEnd"/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situacijos, paskelbus nacionalinį karantiną, veiklos </w:t>
            </w:r>
            <w:proofErr w:type="spellStart"/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Agluonų</w:t>
            </w:r>
            <w:proofErr w:type="spellEnd"/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Kairiškių</w:t>
            </w:r>
            <w:proofErr w:type="spellEnd"/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daugiafunkciuose centruose nebuvo vykdomos. </w:t>
            </w:r>
          </w:p>
          <w:p w14:paraId="0DDFF6D2" w14:textId="77777777" w:rsidR="009E11B5" w:rsidRPr="00583273" w:rsidRDefault="00C938E3" w:rsidP="009E11B5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Aktyvus </w:t>
            </w:r>
            <w:proofErr w:type="spellStart"/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Agluonų</w:t>
            </w:r>
            <w:proofErr w:type="spellEnd"/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daugiafunkcio centro veiklų vykdymas prasidėjo kaimo gyventojų visuotiniu sus</w:t>
            </w:r>
            <w:r w:rsidR="007C798D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rinkimu</w:t>
            </w:r>
            <w:r w:rsidR="007C798D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birželio mėn</w:t>
            </w:r>
            <w:r w:rsidR="00FD643B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esį.</w:t>
            </w:r>
            <w:r w:rsidR="007C798D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C68D5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</w:t>
            </w:r>
            <w:r w:rsidR="007C798D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ame dalyvavo </w:t>
            </w:r>
            <w:r w:rsidR="00DC68D5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Akmenės rajono </w:t>
            </w:r>
            <w:r w:rsidR="007C798D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Akmenės </w:t>
            </w:r>
            <w:r w:rsidR="00DC68D5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seniūnijos </w:t>
            </w:r>
            <w:r w:rsidR="007C798D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seniūnė</w:t>
            </w:r>
            <w:r w:rsidR="00DC68D5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7C798D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C68D5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</w:t>
            </w:r>
            <w:r w:rsidR="007C798D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uvo aptartos kaimo aktualijos, vyko bendruomenės pirmininko ir valdybos narių rinkimai. Daugiafunkcio centro darbuotojai kartu su b</w:t>
            </w:r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endruomenės „Zubovų dvaras“ nariai</w:t>
            </w:r>
            <w:r w:rsidR="007C798D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dalyvavo </w:t>
            </w:r>
            <w:r w:rsidR="009046DC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tradiciniame </w:t>
            </w:r>
            <w:r w:rsidR="007C798D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rajono kaimų bendruom</w:t>
            </w:r>
            <w:r w:rsidR="009046DC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</w:t>
            </w:r>
            <w:r w:rsidR="007C798D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nių</w:t>
            </w:r>
            <w:r w:rsidR="009046DC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sąskrydyje, priėmė svečius iš Lenkijos, Naujosios Akmenės Trečiojo amžiaus universiteto, organizavo poezijos skaitymo vakaronę, bendruomenės susibūrimus, </w:t>
            </w:r>
            <w:r w:rsidR="00162237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kaimo vaikų ir suaugusiųjų</w:t>
            </w:r>
            <w:r w:rsidR="009046DC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62237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Kalėdų eglutės šventę ir kt. Iš viso </w:t>
            </w:r>
            <w:proofErr w:type="spellStart"/>
            <w:r w:rsidR="00162237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Agluonų</w:t>
            </w:r>
            <w:proofErr w:type="spellEnd"/>
            <w:r w:rsidR="00162237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daugiafunkcio centr</w:t>
            </w:r>
            <w:r w:rsidR="00DC68D5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e įvyko 14 renginių ir </w:t>
            </w:r>
            <w:r w:rsidR="00162237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C68D5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juose</w:t>
            </w:r>
            <w:r w:rsidR="00162237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dalyvavo 303 bendruomenės nariai.</w:t>
            </w:r>
          </w:p>
          <w:p w14:paraId="69417B10" w14:textId="77777777" w:rsidR="009E11B5" w:rsidRPr="00583273" w:rsidRDefault="00D31211" w:rsidP="009E11B5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832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Kairiškių</w:t>
            </w:r>
            <w:proofErr w:type="spellEnd"/>
            <w:r w:rsidRPr="005832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daugiafunkcis centras atviras visiems kaimo žmonėms. 2021 m. buvo organizuoti 26 renginiai, kuriuose dalyvavo 650 asmenų. Centre organizuo</w:t>
            </w:r>
            <w:r w:rsidR="009E37ED" w:rsidRPr="005832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</w:t>
            </w:r>
            <w:r w:rsidRPr="005832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os įvairios kalendorinės, valstybinės ir kitos </w:t>
            </w:r>
            <w:proofErr w:type="spellStart"/>
            <w:r w:rsidRPr="005832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Kairiškių</w:t>
            </w:r>
            <w:proofErr w:type="spellEnd"/>
            <w:r w:rsidRPr="005832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kaimui svarbios šventės</w:t>
            </w:r>
            <w:r w:rsidR="00C77240" w:rsidRPr="005832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C77240"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vyk</w:t>
            </w:r>
            <w:r w:rsidR="009E37ED"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r w:rsidR="00C77240"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įvairūs edukaciniai vakarai</w:t>
            </w:r>
            <w:r w:rsidRPr="005832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D73038"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Centro darbuotojai kartu su </w:t>
            </w:r>
            <w:r w:rsidR="009E37ED"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kaimo bendruomenės nariais</w:t>
            </w:r>
            <w:r w:rsidR="00D73038"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E37ED"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iš antrinių žaliavų </w:t>
            </w:r>
            <w:r w:rsidR="00D73038"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gamino</w:t>
            </w:r>
            <w:r w:rsidR="009E37ED"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kalėdines</w:t>
            </w:r>
            <w:r w:rsidR="00D73038"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dekoracijas, kur</w:t>
            </w:r>
            <w:r w:rsidR="009E37ED"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D73038"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omis p</w:t>
            </w:r>
            <w:r w:rsidR="000E30D3"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="009E37ED"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="00D73038"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uoš</w:t>
            </w:r>
            <w:r w:rsidR="00C77240"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ė</w:t>
            </w:r>
            <w:r w:rsidR="00D73038"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vidaus ir lauko erdves</w:t>
            </w:r>
            <w:r w:rsidR="000E30D3"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Ši iniciatyva padėjo gauti apdovanojimą </w:t>
            </w:r>
            <w:r w:rsidR="00C77240"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už gražiausiai tvarkomą aplinką.</w:t>
            </w:r>
          </w:p>
          <w:p w14:paraId="515A7395" w14:textId="77777777" w:rsidR="009E11B5" w:rsidRPr="00583273" w:rsidRDefault="00D31211" w:rsidP="009E11B5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Didžiausias </w:t>
            </w:r>
            <w:r w:rsidR="00C947E8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metų </w:t>
            </w: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>renginys – paminklinio akmens</w:t>
            </w:r>
            <w:r w:rsidR="00C947E8" w:rsidRPr="00583273">
              <w:rPr>
                <w:rFonts w:ascii="Times New Roman" w:hAnsi="Times New Roman" w:cs="Times New Roman"/>
                <w:sz w:val="24"/>
                <w:szCs w:val="24"/>
              </w:rPr>
              <w:t>, skirto</w:t>
            </w: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Vladui </w:t>
            </w:r>
            <w:proofErr w:type="spellStart"/>
            <w:r w:rsidRPr="00583273">
              <w:rPr>
                <w:rFonts w:ascii="Times New Roman" w:hAnsi="Times New Roman" w:cs="Times New Roman"/>
                <w:sz w:val="24"/>
                <w:szCs w:val="24"/>
              </w:rPr>
              <w:t>Sirutavičiui</w:t>
            </w:r>
            <w:proofErr w:type="spellEnd"/>
            <w:r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inžinieriui, verslininkui, visuomenės veikėjui, aktyviam socialdemokratų partijos dalyviui, </w:t>
            </w:r>
            <w:proofErr w:type="spellStart"/>
            <w:r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Kairiškių</w:t>
            </w:r>
            <w:proofErr w:type="spellEnd"/>
            <w:r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mokyklos įkūrėjui</w:t>
            </w:r>
            <w:r w:rsidR="00C947E8"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atidengimas</w:t>
            </w:r>
            <w:r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09A8D38F" w14:textId="77777777" w:rsidR="009E11B5" w:rsidRPr="00583273" w:rsidRDefault="00D31211" w:rsidP="009E11B5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Lietuvos karaliaus Mindaugo karūnavimo dien</w:t>
            </w:r>
            <w:r w:rsidR="00C947E8"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buvo</w:t>
            </w:r>
            <w:r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paminė</w:t>
            </w:r>
            <w:r w:rsidR="00C77240"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</w:t>
            </w:r>
            <w:r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kartu su socialiniais pedagogais iš kaimyninės Lenkijos. </w:t>
            </w:r>
            <w:r w:rsidR="00C77240"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Bendruomenė palaik</w:t>
            </w:r>
            <w:r w:rsidR="000E30D3"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ė</w:t>
            </w:r>
            <w:r w:rsidR="00C77240"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glaudžius ryšius su Lazdynų Pelėdos muziejumi, </w:t>
            </w:r>
            <w:r w:rsidR="00C77240"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Naujosios </w:t>
            </w:r>
            <w:r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Akmenės TAU, </w:t>
            </w:r>
            <w:proofErr w:type="spellStart"/>
            <w:r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Kairiškių</w:t>
            </w:r>
            <w:proofErr w:type="spellEnd"/>
            <w:r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biblioteka </w:t>
            </w:r>
            <w:r w:rsidR="000E30D3"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ir</w:t>
            </w:r>
            <w:r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dalyva</w:t>
            </w:r>
            <w:r w:rsidR="00C77240"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</w:t>
            </w:r>
            <w:r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bendruose projektuose</w:t>
            </w:r>
            <w:r w:rsidR="00C77240"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kurių dėka buvo įsigyta</w:t>
            </w:r>
            <w:r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įvairių lauko žaidimų, kad jaunimas </w:t>
            </w:r>
            <w:proofErr w:type="spellStart"/>
            <w:r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pandeminiu</w:t>
            </w:r>
            <w:proofErr w:type="spellEnd"/>
            <w:r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laikotarpiu gal</w:t>
            </w:r>
            <w:r w:rsidR="000E30D3"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ėtų</w:t>
            </w:r>
            <w:r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daugiau laiko praleisti gryname ore</w:t>
            </w:r>
            <w:r w:rsidR="00C77240" w:rsidRPr="00583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114533B1" w14:textId="77777777" w:rsidR="009E11B5" w:rsidRPr="00583273" w:rsidRDefault="00117CDD" w:rsidP="009E11B5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sz w:val="24"/>
              </w:rPr>
              <w:t xml:space="preserve">2021 metais buvo tęsiamas ESF projekto „Senjorai mokosi: iš praeities į ateitį“ vykdymas. Projekto </w:t>
            </w:r>
            <w:r w:rsidR="00143F40" w:rsidRPr="00583273">
              <w:rPr>
                <w:rFonts w:ascii="Times New Roman" w:hAnsi="Times New Roman" w:cs="Times New Roman"/>
                <w:sz w:val="24"/>
              </w:rPr>
              <w:t>tikslas – socialinę atskirtį patiriančių senyvo amžiaus asmenų užimtumo didinimas, teikiant sociokultūrines paslaugas. V</w:t>
            </w:r>
            <w:r w:rsidRPr="00583273">
              <w:rPr>
                <w:rFonts w:ascii="Times New Roman" w:hAnsi="Times New Roman" w:cs="Times New Roman"/>
                <w:sz w:val="24"/>
              </w:rPr>
              <w:t>eiklose dalyvavo 132 senjorai.</w:t>
            </w:r>
            <w:r w:rsidR="006F385A" w:rsidRPr="0058327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3F40" w:rsidRPr="00583273">
              <w:rPr>
                <w:rFonts w:ascii="Times New Roman" w:hAnsi="Times New Roman" w:cs="Times New Roman"/>
                <w:sz w:val="24"/>
              </w:rPr>
              <w:t>Naujosios Akmenės senjorų kūrybiškumas, saviraiška ir savirealizacija atsiskleid</w:t>
            </w:r>
            <w:r w:rsidR="00396A52" w:rsidRPr="00583273">
              <w:rPr>
                <w:rFonts w:ascii="Times New Roman" w:hAnsi="Times New Roman" w:cs="Times New Roman"/>
                <w:sz w:val="24"/>
              </w:rPr>
              <w:t>ė</w:t>
            </w:r>
            <w:r w:rsidR="00143F40" w:rsidRPr="00583273">
              <w:rPr>
                <w:rFonts w:ascii="Times New Roman" w:hAnsi="Times New Roman" w:cs="Times New Roman"/>
                <w:sz w:val="24"/>
              </w:rPr>
              <w:t xml:space="preserve"> per dainavimo, šokių ir dailiųjų amatų valandėles</w:t>
            </w:r>
            <w:r w:rsidR="00396A52" w:rsidRPr="00583273">
              <w:rPr>
                <w:rFonts w:ascii="Times New Roman" w:hAnsi="Times New Roman" w:cs="Times New Roman"/>
                <w:sz w:val="24"/>
              </w:rPr>
              <w:t>. B</w:t>
            </w:r>
            <w:r w:rsidR="00143F40" w:rsidRPr="00583273">
              <w:rPr>
                <w:rFonts w:ascii="Times New Roman" w:hAnsi="Times New Roman" w:cs="Times New Roman"/>
                <w:sz w:val="24"/>
              </w:rPr>
              <w:t>endravimo užsienio kalba įgūdžius senjorai tobulin</w:t>
            </w:r>
            <w:r w:rsidR="00396A52" w:rsidRPr="00583273">
              <w:rPr>
                <w:rFonts w:ascii="Times New Roman" w:hAnsi="Times New Roman" w:cs="Times New Roman"/>
                <w:sz w:val="24"/>
              </w:rPr>
              <w:t>o</w:t>
            </w:r>
            <w:r w:rsidR="00143F40" w:rsidRPr="00583273">
              <w:rPr>
                <w:rFonts w:ascii="Times New Roman" w:hAnsi="Times New Roman" w:cs="Times New Roman"/>
                <w:sz w:val="24"/>
              </w:rPr>
              <w:t xml:space="preserve"> per užsienio kalbų užsiėmimus. Sveikatingumo stovyklose jie ugd</w:t>
            </w:r>
            <w:r w:rsidR="00396A52" w:rsidRPr="00583273">
              <w:rPr>
                <w:rFonts w:ascii="Times New Roman" w:hAnsi="Times New Roman" w:cs="Times New Roman"/>
                <w:sz w:val="24"/>
              </w:rPr>
              <w:t>ė</w:t>
            </w:r>
            <w:r w:rsidR="00143F40" w:rsidRPr="00583273">
              <w:rPr>
                <w:rFonts w:ascii="Times New Roman" w:hAnsi="Times New Roman" w:cs="Times New Roman"/>
                <w:sz w:val="24"/>
              </w:rPr>
              <w:t>si dvasines vertybes, stiprin</w:t>
            </w:r>
            <w:r w:rsidR="00396A52" w:rsidRPr="00583273">
              <w:rPr>
                <w:rFonts w:ascii="Times New Roman" w:hAnsi="Times New Roman" w:cs="Times New Roman"/>
                <w:sz w:val="24"/>
              </w:rPr>
              <w:t>o</w:t>
            </w:r>
            <w:r w:rsidR="00143F40" w:rsidRPr="00583273">
              <w:rPr>
                <w:rFonts w:ascii="Times New Roman" w:hAnsi="Times New Roman" w:cs="Times New Roman"/>
                <w:sz w:val="24"/>
              </w:rPr>
              <w:t xml:space="preserve"> sveikatą. Savo gyvenimiškąją patirtį projekto dalyviai turtin</w:t>
            </w:r>
            <w:r w:rsidR="00396A52" w:rsidRPr="00583273">
              <w:rPr>
                <w:rFonts w:ascii="Times New Roman" w:hAnsi="Times New Roman" w:cs="Times New Roman"/>
                <w:sz w:val="24"/>
              </w:rPr>
              <w:t>o</w:t>
            </w:r>
            <w:r w:rsidR="00143F40" w:rsidRPr="00583273">
              <w:rPr>
                <w:rFonts w:ascii="Times New Roman" w:hAnsi="Times New Roman" w:cs="Times New Roman"/>
                <w:sz w:val="24"/>
              </w:rPr>
              <w:t xml:space="preserve"> edukacinėse programose, daug naujų įspūdžių pat</w:t>
            </w:r>
            <w:r w:rsidR="00396A52" w:rsidRPr="00583273">
              <w:rPr>
                <w:rFonts w:ascii="Times New Roman" w:hAnsi="Times New Roman" w:cs="Times New Roman"/>
                <w:sz w:val="24"/>
              </w:rPr>
              <w:t>y</w:t>
            </w:r>
            <w:r w:rsidR="00143F40" w:rsidRPr="00583273">
              <w:rPr>
                <w:rFonts w:ascii="Times New Roman" w:hAnsi="Times New Roman" w:cs="Times New Roman"/>
                <w:sz w:val="24"/>
              </w:rPr>
              <w:t>r</w:t>
            </w:r>
            <w:r w:rsidR="00396A52" w:rsidRPr="00583273">
              <w:rPr>
                <w:rFonts w:ascii="Times New Roman" w:hAnsi="Times New Roman" w:cs="Times New Roman"/>
                <w:sz w:val="24"/>
              </w:rPr>
              <w:t>ė</w:t>
            </w:r>
            <w:r w:rsidR="00143F40" w:rsidRPr="00583273">
              <w:rPr>
                <w:rFonts w:ascii="Times New Roman" w:hAnsi="Times New Roman" w:cs="Times New Roman"/>
                <w:sz w:val="24"/>
              </w:rPr>
              <w:t xml:space="preserve"> keliaudami po savo gimtąjį kraštą. </w:t>
            </w:r>
          </w:p>
          <w:p w14:paraId="0C286A25" w14:textId="77777777" w:rsidR="009E11B5" w:rsidRPr="00583273" w:rsidRDefault="00BA6F66" w:rsidP="009E11B5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Akmenės rajono jaunimo ir suaugusiųjų švietimo centras partnerio teisėmis kartu su Lenkijos Respublikos </w:t>
            </w:r>
            <w:proofErr w:type="spellStart"/>
            <w:r w:rsidRPr="00583273">
              <w:rPr>
                <w:rFonts w:ascii="Times New Roman" w:hAnsi="Times New Roman" w:cs="Times New Roman"/>
                <w:sz w:val="24"/>
                <w:szCs w:val="24"/>
              </w:rPr>
              <w:t>Konino</w:t>
            </w:r>
            <w:proofErr w:type="spellEnd"/>
            <w:r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miest</w:t>
            </w:r>
            <w:r w:rsidR="005226A6" w:rsidRPr="00583273">
              <w:rPr>
                <w:rFonts w:ascii="Times New Roman" w:hAnsi="Times New Roman" w:cs="Times New Roman"/>
                <w:sz w:val="24"/>
                <w:szCs w:val="24"/>
              </w:rPr>
              <w:t>o aukštąja</w:t>
            </w: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831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mokykla </w:t>
            </w: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dalyvavo bendrame Europos </w:t>
            </w:r>
            <w:r w:rsidR="005226A6" w:rsidRPr="0058327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>ąjungos finansuojamame projekte „Tarptautinis mobilumas kaip plėtros galimybė“, skirtame socialinę atskirtį patiriantiems, negalią turintiems žmonėms.</w:t>
            </w:r>
            <w:r w:rsidR="002850C4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Iš Lenkijos atvyko 35 tikslinės grupės atstovai. Iš anksto buvo parengta kiekvienos dienos užimtumo programa. </w:t>
            </w:r>
            <w:r w:rsidR="001D04EC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Vyko susitikimai su Akmenės rajono savivaldybės vadovais, </w:t>
            </w:r>
            <w:proofErr w:type="spellStart"/>
            <w:r w:rsidR="001D04EC" w:rsidRPr="00583273">
              <w:rPr>
                <w:rFonts w:ascii="Times New Roman" w:hAnsi="Times New Roman" w:cs="Times New Roman"/>
                <w:sz w:val="24"/>
                <w:szCs w:val="24"/>
              </w:rPr>
              <w:t>Dabikinės</w:t>
            </w:r>
            <w:proofErr w:type="spellEnd"/>
            <w:r w:rsidR="001D04EC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Vladimiro Zubovo mokyklos pedagogais, Naujosios Akmenės ikimokyklinio ugdymo mokyklos darbuotojais, rajono paramos šeimai specialistais, </w:t>
            </w:r>
            <w:r w:rsidR="001D04EC" w:rsidRPr="0058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socialiniais darbuotojais, neįgaliųjų organizacijų atstovais.</w:t>
            </w:r>
            <w:r w:rsidR="002850C4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4EC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Svečiai ir Centro </w:t>
            </w:r>
            <w:r w:rsidR="00643207" w:rsidRPr="00583273">
              <w:rPr>
                <w:rFonts w:ascii="Times New Roman" w:hAnsi="Times New Roman" w:cs="Times New Roman"/>
                <w:sz w:val="24"/>
                <w:szCs w:val="24"/>
              </w:rPr>
              <w:t>atstovai, atsakingi už užimtumo veiklų vykdymą, lankėsi</w:t>
            </w:r>
            <w:r w:rsidR="002850C4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50C4" w:rsidRPr="00583273">
              <w:rPr>
                <w:rFonts w:ascii="Times New Roman" w:hAnsi="Times New Roman" w:cs="Times New Roman"/>
                <w:sz w:val="24"/>
                <w:szCs w:val="24"/>
              </w:rPr>
              <w:t>Kairiškių</w:t>
            </w:r>
            <w:proofErr w:type="spellEnd"/>
            <w:r w:rsidR="002850C4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207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proofErr w:type="spellStart"/>
            <w:r w:rsidR="00643207" w:rsidRPr="00583273">
              <w:rPr>
                <w:rFonts w:ascii="Times New Roman" w:hAnsi="Times New Roman" w:cs="Times New Roman"/>
                <w:sz w:val="24"/>
                <w:szCs w:val="24"/>
              </w:rPr>
              <w:t>Agluonų</w:t>
            </w:r>
            <w:proofErr w:type="spellEnd"/>
            <w:r w:rsidR="00643207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0C4" w:rsidRPr="00583273">
              <w:rPr>
                <w:rFonts w:ascii="Times New Roman" w:hAnsi="Times New Roman" w:cs="Times New Roman"/>
                <w:sz w:val="24"/>
                <w:szCs w:val="24"/>
              </w:rPr>
              <w:t>daugiafunkci</w:t>
            </w:r>
            <w:r w:rsidR="00643207" w:rsidRPr="00583273">
              <w:rPr>
                <w:rFonts w:ascii="Times New Roman" w:hAnsi="Times New Roman" w:cs="Times New Roman"/>
                <w:sz w:val="24"/>
                <w:szCs w:val="24"/>
              </w:rPr>
              <w:t>uos</w:t>
            </w:r>
            <w:r w:rsidR="002850C4" w:rsidRPr="00583273">
              <w:rPr>
                <w:rFonts w:ascii="Times New Roman" w:hAnsi="Times New Roman" w:cs="Times New Roman"/>
                <w:sz w:val="24"/>
                <w:szCs w:val="24"/>
              </w:rPr>
              <w:t>e centr</w:t>
            </w:r>
            <w:r w:rsidR="00643207" w:rsidRPr="00583273">
              <w:rPr>
                <w:rFonts w:ascii="Times New Roman" w:hAnsi="Times New Roman" w:cs="Times New Roman"/>
                <w:sz w:val="24"/>
                <w:szCs w:val="24"/>
              </w:rPr>
              <w:t>uos</w:t>
            </w:r>
            <w:r w:rsidR="002850C4" w:rsidRPr="0058327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43207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, susipažino su tų vietovių unikaliu </w:t>
            </w:r>
            <w:r w:rsidR="007E144F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kultūriniu ir </w:t>
            </w:r>
            <w:r w:rsidR="00643207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kulinariniu paveldu. </w:t>
            </w:r>
          </w:p>
          <w:p w14:paraId="6D1CE871" w14:textId="733D9C42" w:rsidR="009E11B5" w:rsidRPr="00583273" w:rsidRDefault="00E554F0" w:rsidP="009E11B5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2021 metais Trečiojo amžiaus universitetas </w:t>
            </w:r>
            <w:r w:rsidR="00AA1831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teikė par</w:t>
            </w:r>
            <w:r w:rsidR="00641D0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="00AA1831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išką</w:t>
            </w:r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>Akmenės rajono savivaldybės visuomenės sveikatos rėmimo specialiosios programos konkurs</w:t>
            </w:r>
            <w:r w:rsidR="00AA1831" w:rsidRPr="00583273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0969E0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gavo finansavimą </w:t>
            </w: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0969E0" w:rsidRPr="0058327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„Pradėję gyventi sveikiau – nesustokime“</w:t>
            </w:r>
            <w:r w:rsidR="000969E0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vykdymui. Projekto tikslas </w:t>
            </w:r>
            <w:r w:rsidR="00A23983" w:rsidRPr="005832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969E0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0969E0" w:rsidRPr="00583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iekti, kad fizinis aktyvumas, tarpusavio bendradarbiavimas, sveikas gyvenimo būdas taptų kasdienine būtinybe ir įpročiu. Projekt</w:t>
            </w:r>
            <w:r w:rsidR="007E144F" w:rsidRPr="00583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="000969E0" w:rsidRPr="00583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77C8" w:rsidRPr="00583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veiklose (dviračių žygyje, sporto ir meno šventėje, bičių terapijos seanse ir kt.) </w:t>
            </w:r>
            <w:r w:rsidR="000969E0" w:rsidRPr="00583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dalyvavo 167 universiteto nariai. </w:t>
            </w:r>
            <w:r w:rsidR="000977C8" w:rsidRPr="00583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Senjorai aktyviai ir įdomiai leido laiką, savanoriavo ir liko patenkinti specialistų savanorių darbo kokybe.</w:t>
            </w:r>
          </w:p>
          <w:p w14:paraId="7422CA18" w14:textId="77777777" w:rsidR="009E11B5" w:rsidRPr="00583273" w:rsidRDefault="000977C8" w:rsidP="009E11B5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Ataskaitiniais metais </w:t>
            </w:r>
            <w:r w:rsidR="007430EE" w:rsidRPr="00583273">
              <w:rPr>
                <w:rFonts w:ascii="Times New Roman" w:hAnsi="Times New Roman" w:cs="Times New Roman"/>
                <w:sz w:val="24"/>
                <w:szCs w:val="24"/>
              </w:rPr>
              <w:t>TAU</w:t>
            </w: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781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teikė paraišką </w:t>
            </w: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Akmenės rajono savivaldybės neformaliojo suaugusiųjų švietimo ir tęstinio mokymosi programos </w:t>
            </w:r>
            <w:r w:rsidR="00093781" w:rsidRPr="00583273">
              <w:rPr>
                <w:rFonts w:ascii="Times New Roman" w:hAnsi="Times New Roman" w:cs="Times New Roman"/>
                <w:sz w:val="24"/>
                <w:szCs w:val="24"/>
              </w:rPr>
              <w:t>konkursui</w:t>
            </w:r>
            <w:r w:rsidR="00660A05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781" w:rsidRPr="005832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60A05" w:rsidRPr="0058327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93781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0EE" w:rsidRPr="00583273">
              <w:rPr>
                <w:rFonts w:ascii="Times New Roman" w:hAnsi="Times New Roman" w:cs="Times New Roman"/>
                <w:sz w:val="24"/>
                <w:szCs w:val="24"/>
              </w:rPr>
              <w:t>gavo finansavimą p</w:t>
            </w: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>rojekt</w:t>
            </w:r>
            <w:r w:rsidR="00093781" w:rsidRPr="0058327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„Šuolis per metų tiltus“</w:t>
            </w:r>
            <w:r w:rsidR="007430EE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vykdymui. </w:t>
            </w:r>
            <w:r w:rsidR="00093781" w:rsidRPr="0058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0EE" w:rsidRPr="0058327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93781" w:rsidRPr="00583273">
              <w:rPr>
                <w:rFonts w:ascii="Times New Roman" w:hAnsi="Times New Roman" w:cs="Times New Roman"/>
                <w:sz w:val="24"/>
                <w:szCs w:val="24"/>
              </w:rPr>
              <w:t>ikslas – u</w:t>
            </w:r>
            <w:r w:rsidR="00093781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gdyti sveikos gyvensenos, oraus senėjimo ir patirties sklaidos kompetencijas. Projekto veiklose (</w:t>
            </w:r>
            <w:r w:rsidR="00B54564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edukacinėse ekskursijose, užsienio kalbų pamokėlėse, kultūrinėse edukacinėse išvykose</w:t>
            </w:r>
            <w:r w:rsidR="002E0AC9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="002E0AC9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protmūšiuose</w:t>
            </w:r>
            <w:proofErr w:type="spellEnd"/>
            <w:r w:rsidR="00B54564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2E0AC9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ir kt.</w:t>
            </w:r>
            <w:r w:rsidR="00093781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 dalyvavo 170 tikslinės grupės atstovų. V</w:t>
            </w:r>
            <w:r w:rsidR="00093781" w:rsidRPr="00583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eiklos buvo vykdomos </w:t>
            </w:r>
            <w:r w:rsidR="00660A05" w:rsidRPr="00583273">
              <w:rPr>
                <w:rFonts w:ascii="Times New Roman" w:eastAsia="Calibri" w:hAnsi="Times New Roman" w:cs="Times New Roman"/>
                <w:sz w:val="24"/>
                <w:szCs w:val="24"/>
              </w:rPr>
              <w:t>lanksčiai</w:t>
            </w:r>
            <w:r w:rsidR="00093781" w:rsidRPr="00583273">
              <w:rPr>
                <w:rFonts w:ascii="Times New Roman" w:eastAsia="Calibri" w:hAnsi="Times New Roman" w:cs="Times New Roman"/>
                <w:sz w:val="24"/>
                <w:szCs w:val="24"/>
              </w:rPr>
              <w:t>, atsižvelgiant į klausytojų poreikius</w:t>
            </w:r>
            <w:r w:rsidR="00660A05" w:rsidRPr="0058327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93781" w:rsidRPr="00583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buvo plečiami socialiniai ryšiai tarp skirtingų žmonių grupių, kartų, ugdomos bendravimo kompetencijos. </w:t>
            </w:r>
          </w:p>
          <w:p w14:paraId="69F49EB6" w14:textId="54C3BC7C" w:rsidR="00E203E0" w:rsidRPr="00583273" w:rsidRDefault="00661119" w:rsidP="009E11B5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Centro </w:t>
            </w:r>
            <w:r w:rsidR="00DF5181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strateginiai ir metiniai </w:t>
            </w:r>
            <w:r w:rsidR="00E203E0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veiklos </w:t>
            </w:r>
            <w:r w:rsidR="00DF5181" w:rsidRPr="005832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tikslai, uždaviniai bei pasiekti rezultatai ir jų rodikliai:</w:t>
            </w:r>
          </w:p>
          <w:p w14:paraId="3E7CE195" w14:textId="38516867" w:rsidR="0063408A" w:rsidRPr="00583273" w:rsidRDefault="0063408A" w:rsidP="00143F40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73">
              <w:rPr>
                <w:rFonts w:ascii="Times New Roman" w:hAnsi="Times New Roman" w:cs="Times New Roman"/>
                <w:b/>
                <w:sz w:val="24"/>
                <w:szCs w:val="24"/>
              </w:rPr>
              <w:t>1 tikslas. Ne mažiau kaip 80 proc. mokinių nori mokytis.</w:t>
            </w:r>
          </w:p>
          <w:p w14:paraId="261F0CB0" w14:textId="0A44778A" w:rsidR="007430EE" w:rsidRPr="00583273" w:rsidRDefault="007430EE" w:rsidP="00143F40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Uždaviniai:</w:t>
            </w:r>
          </w:p>
          <w:p w14:paraId="4DB1E1B8" w14:textId="677820BA" w:rsidR="0063408A" w:rsidRPr="00583273" w:rsidRDefault="0063408A" w:rsidP="00143F40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1.1. </w:t>
            </w:r>
            <w:r w:rsidRPr="00583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Skatinti mokytojus nuolat </w:t>
            </w:r>
            <w:proofErr w:type="spellStart"/>
            <w:r w:rsidRPr="00583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profesiškai</w:t>
            </w:r>
            <w:proofErr w:type="spellEnd"/>
            <w:r w:rsidRPr="00583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tobulėti.</w:t>
            </w:r>
          </w:p>
          <w:p w14:paraId="047B3FA8" w14:textId="725AD321" w:rsidR="000946BE" w:rsidRPr="00583273" w:rsidRDefault="003D409F" w:rsidP="009E11B5">
            <w:pPr>
              <w:overflowPunct w:val="0"/>
              <w:ind w:firstLine="603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2021 metais </w:t>
            </w:r>
            <w:r w:rsidR="00947091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Centro mokytojai dalyvavo nuotoliniu būdu</w:t>
            </w:r>
            <w:r w:rsidR="00AE429A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vykusiuose seminaruose</w:t>
            </w:r>
            <w:r w:rsidR="000946BE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:</w:t>
            </w:r>
          </w:p>
          <w:p w14:paraId="78040047" w14:textId="5ABF5F42" w:rsidR="00AE429A" w:rsidRPr="00B62953" w:rsidRDefault="00947091" w:rsidP="0099639A">
            <w:pPr>
              <w:pStyle w:val="Sraopastraipa"/>
              <w:numPr>
                <w:ilvl w:val="0"/>
                <w:numId w:val="10"/>
              </w:numPr>
              <w:overflowPunct w:val="0"/>
              <w:ind w:left="0" w:firstLine="603"/>
              <w:jc w:val="both"/>
              <w:textAlignment w:val="baseline"/>
              <w:rPr>
                <w:rFonts w:ascii="Times New Roman" w:eastAsiaTheme="minorHAnsi" w:hAnsi="Times New Roman" w:cs="Times New Roman"/>
                <w:bCs/>
                <w:iCs/>
                <w:sz w:val="24"/>
                <w:szCs w:val="28"/>
                <w:lang w:eastAsia="lt-LT"/>
              </w:rPr>
            </w:pPr>
            <w:r w:rsidRPr="00B62953">
              <w:rPr>
                <w:rFonts w:ascii="Times New Roman" w:eastAsiaTheme="minorHAnsi" w:hAnsi="Times New Roman" w:cs="Times New Roman"/>
                <w:bCs/>
                <w:iCs/>
                <w:sz w:val="24"/>
                <w:szCs w:val="28"/>
                <w:lang w:eastAsia="lt-LT"/>
              </w:rPr>
              <w:t xml:space="preserve">100 proc. mokytojų </w:t>
            </w:r>
            <w:r w:rsidR="000946BE" w:rsidRPr="00B62953">
              <w:rPr>
                <w:rFonts w:ascii="Times New Roman" w:eastAsiaTheme="minorHAnsi" w:hAnsi="Times New Roman" w:cs="Times New Roman"/>
                <w:bCs/>
                <w:iCs/>
                <w:sz w:val="24"/>
                <w:szCs w:val="28"/>
                <w:lang w:eastAsia="lt-LT"/>
              </w:rPr>
              <w:t xml:space="preserve">– </w:t>
            </w:r>
            <w:r w:rsidRPr="00B62953">
              <w:rPr>
                <w:rFonts w:ascii="Times New Roman" w:eastAsiaTheme="minorHAnsi" w:hAnsi="Times New Roman" w:cs="Times New Roman"/>
                <w:bCs/>
                <w:iCs/>
                <w:sz w:val="24"/>
                <w:szCs w:val="28"/>
                <w:lang w:eastAsia="lt-LT"/>
              </w:rPr>
              <w:t>„Efektyvus pedagogo darbingumas, vidinė emocinė harmonija ir savęs palaikymas dirbant nuotoliniu būdu“</w:t>
            </w:r>
            <w:r w:rsidR="00AE429A" w:rsidRPr="00B62953">
              <w:rPr>
                <w:rFonts w:ascii="Times New Roman" w:eastAsiaTheme="minorHAnsi" w:hAnsi="Times New Roman" w:cs="Times New Roman"/>
                <w:bCs/>
                <w:iCs/>
                <w:sz w:val="24"/>
                <w:szCs w:val="28"/>
                <w:lang w:eastAsia="lt-LT"/>
              </w:rPr>
              <w:t>;</w:t>
            </w:r>
          </w:p>
          <w:p w14:paraId="60CE658D" w14:textId="7C19A307" w:rsidR="000946BE" w:rsidRPr="00B62953" w:rsidRDefault="00AE429A" w:rsidP="0099639A">
            <w:pPr>
              <w:pStyle w:val="Sraopastraipa"/>
              <w:numPr>
                <w:ilvl w:val="0"/>
                <w:numId w:val="10"/>
              </w:numPr>
              <w:overflowPunct w:val="0"/>
              <w:ind w:left="0" w:firstLine="603"/>
              <w:jc w:val="both"/>
              <w:textAlignment w:val="baseline"/>
              <w:rPr>
                <w:rFonts w:ascii="Times New Roman" w:eastAsiaTheme="minorHAnsi" w:hAnsi="Times New Roman" w:cs="Times New Roman"/>
                <w:bCs/>
                <w:iCs/>
                <w:sz w:val="24"/>
                <w:szCs w:val="28"/>
                <w:lang w:eastAsia="lt-LT"/>
              </w:rPr>
            </w:pPr>
            <w:r w:rsidRPr="00B62953">
              <w:rPr>
                <w:rFonts w:ascii="Times New Roman" w:eastAsiaTheme="minorHAnsi" w:hAnsi="Times New Roman" w:cs="Times New Roman"/>
                <w:bCs/>
                <w:iCs/>
                <w:sz w:val="24"/>
                <w:szCs w:val="28"/>
                <w:lang w:eastAsia="lt-LT"/>
              </w:rPr>
              <w:t>100 proc. mokytojų – „Mokytojų ir pagalbos mokiniui specialistų skaitmeninio raštingumo kompetencijos tobulinimo programa“</w:t>
            </w:r>
            <w:r w:rsidR="00067585" w:rsidRPr="00B62953">
              <w:rPr>
                <w:rFonts w:ascii="Times New Roman" w:eastAsiaTheme="minorHAnsi" w:hAnsi="Times New Roman" w:cs="Times New Roman"/>
                <w:bCs/>
                <w:iCs/>
                <w:sz w:val="24"/>
                <w:szCs w:val="28"/>
                <w:lang w:eastAsia="lt-LT"/>
              </w:rPr>
              <w:t>;</w:t>
            </w:r>
          </w:p>
          <w:p w14:paraId="388447B9" w14:textId="1740B404" w:rsidR="000946BE" w:rsidRPr="00B62953" w:rsidRDefault="00947091" w:rsidP="0099639A">
            <w:pPr>
              <w:pStyle w:val="Sraopastraipa"/>
              <w:numPr>
                <w:ilvl w:val="0"/>
                <w:numId w:val="10"/>
              </w:numPr>
              <w:overflowPunct w:val="0"/>
              <w:ind w:left="0" w:firstLine="603"/>
              <w:jc w:val="both"/>
              <w:textAlignment w:val="baseline"/>
              <w:rPr>
                <w:rFonts w:ascii="Times New Roman" w:eastAsiaTheme="minorHAnsi" w:hAnsi="Times New Roman" w:cs="Times New Roman"/>
                <w:bCs/>
                <w:iCs/>
                <w:sz w:val="24"/>
                <w:szCs w:val="28"/>
                <w:lang w:eastAsia="lt-LT"/>
              </w:rPr>
            </w:pPr>
            <w:r w:rsidRPr="00B62953">
              <w:rPr>
                <w:rFonts w:ascii="Times New Roman" w:eastAsiaTheme="minorHAnsi" w:hAnsi="Times New Roman" w:cs="Times New Roman"/>
                <w:bCs/>
                <w:iCs/>
                <w:sz w:val="24"/>
                <w:szCs w:val="28"/>
                <w:lang w:eastAsia="lt-LT"/>
              </w:rPr>
              <w:t xml:space="preserve">20 proc. mokytojų </w:t>
            </w:r>
            <w:r w:rsidR="000946BE" w:rsidRPr="00B62953">
              <w:rPr>
                <w:rFonts w:ascii="Times New Roman" w:eastAsiaTheme="minorHAnsi" w:hAnsi="Times New Roman" w:cs="Times New Roman"/>
                <w:bCs/>
                <w:iCs/>
                <w:sz w:val="24"/>
                <w:szCs w:val="28"/>
                <w:lang w:eastAsia="lt-LT"/>
              </w:rPr>
              <w:t>–</w:t>
            </w:r>
            <w:r w:rsidRPr="00B62953">
              <w:rPr>
                <w:rFonts w:ascii="Times New Roman" w:eastAsiaTheme="minorHAnsi" w:hAnsi="Times New Roman" w:cs="Times New Roman"/>
                <w:bCs/>
                <w:iCs/>
                <w:sz w:val="24"/>
                <w:szCs w:val="28"/>
                <w:lang w:eastAsia="lt-LT"/>
              </w:rPr>
              <w:t xml:space="preserve"> „Įtraukiojo specialiųjų ugdymosi poreikių turinčių vaikų ugdymo(</w:t>
            </w:r>
            <w:proofErr w:type="spellStart"/>
            <w:r w:rsidRPr="00B62953">
              <w:rPr>
                <w:rFonts w:ascii="Times New Roman" w:eastAsiaTheme="minorHAnsi" w:hAnsi="Times New Roman" w:cs="Times New Roman"/>
                <w:bCs/>
                <w:iCs/>
                <w:sz w:val="24"/>
                <w:szCs w:val="28"/>
                <w:lang w:eastAsia="lt-LT"/>
              </w:rPr>
              <w:t>si</w:t>
            </w:r>
            <w:proofErr w:type="spellEnd"/>
            <w:r w:rsidRPr="00B62953">
              <w:rPr>
                <w:rFonts w:ascii="Times New Roman" w:eastAsiaTheme="minorHAnsi" w:hAnsi="Times New Roman" w:cs="Times New Roman"/>
                <w:bCs/>
                <w:iCs/>
                <w:sz w:val="24"/>
                <w:szCs w:val="28"/>
                <w:lang w:eastAsia="lt-LT"/>
              </w:rPr>
              <w:t>) organizavimas</w:t>
            </w:r>
            <w:r w:rsidR="006E1869" w:rsidRPr="00B62953">
              <w:rPr>
                <w:rFonts w:ascii="Times New Roman" w:eastAsiaTheme="minorHAnsi" w:hAnsi="Times New Roman" w:cs="Times New Roman"/>
                <w:bCs/>
                <w:iCs/>
                <w:sz w:val="24"/>
                <w:szCs w:val="28"/>
                <w:lang w:eastAsia="lt-LT"/>
              </w:rPr>
              <w:t>:</w:t>
            </w:r>
            <w:r w:rsidRPr="00B62953">
              <w:rPr>
                <w:rFonts w:ascii="Times New Roman" w:eastAsiaTheme="minorHAnsi" w:hAnsi="Times New Roman" w:cs="Times New Roman"/>
                <w:bCs/>
                <w:iCs/>
                <w:sz w:val="24"/>
                <w:szCs w:val="28"/>
                <w:lang w:eastAsia="lt-LT"/>
              </w:rPr>
              <w:t xml:space="preserve"> kliūtys, kliūčių įveika“</w:t>
            </w:r>
            <w:r w:rsidR="00067585" w:rsidRPr="00B62953">
              <w:rPr>
                <w:rFonts w:ascii="Times New Roman" w:eastAsiaTheme="minorHAnsi" w:hAnsi="Times New Roman" w:cs="Times New Roman"/>
                <w:bCs/>
                <w:iCs/>
                <w:sz w:val="24"/>
                <w:szCs w:val="28"/>
                <w:lang w:eastAsia="lt-LT"/>
              </w:rPr>
              <w:t>;</w:t>
            </w:r>
          </w:p>
          <w:p w14:paraId="24DDCB85" w14:textId="3B320619" w:rsidR="000946BE" w:rsidRPr="00B62953" w:rsidRDefault="006E1869" w:rsidP="0099639A">
            <w:pPr>
              <w:pStyle w:val="Sraopastraipa"/>
              <w:numPr>
                <w:ilvl w:val="0"/>
                <w:numId w:val="10"/>
              </w:numPr>
              <w:overflowPunct w:val="0"/>
              <w:ind w:left="0" w:firstLine="603"/>
              <w:jc w:val="both"/>
              <w:textAlignment w:val="baseline"/>
              <w:rPr>
                <w:rFonts w:ascii="Times New Roman" w:eastAsiaTheme="minorHAnsi" w:hAnsi="Times New Roman" w:cs="Times New Roman"/>
                <w:bCs/>
                <w:iCs/>
                <w:sz w:val="24"/>
                <w:szCs w:val="28"/>
                <w:lang w:eastAsia="lt-LT"/>
              </w:rPr>
            </w:pPr>
            <w:r w:rsidRPr="00B62953">
              <w:rPr>
                <w:rFonts w:ascii="Times New Roman" w:eastAsiaTheme="minorHAnsi" w:hAnsi="Times New Roman" w:cs="Times New Roman"/>
                <w:bCs/>
                <w:iCs/>
                <w:sz w:val="24"/>
                <w:szCs w:val="28"/>
                <w:lang w:eastAsia="lt-LT"/>
              </w:rPr>
              <w:t xml:space="preserve">25 proc. </w:t>
            </w:r>
            <w:r w:rsidR="000946BE" w:rsidRPr="00B62953">
              <w:rPr>
                <w:rFonts w:ascii="Times New Roman" w:eastAsiaTheme="minorHAnsi" w:hAnsi="Times New Roman" w:cs="Times New Roman"/>
                <w:bCs/>
                <w:iCs/>
                <w:sz w:val="24"/>
                <w:szCs w:val="28"/>
                <w:lang w:eastAsia="lt-LT"/>
              </w:rPr>
              <w:t xml:space="preserve">mokytojų – </w:t>
            </w:r>
            <w:r w:rsidRPr="00B62953">
              <w:rPr>
                <w:rFonts w:ascii="Times New Roman" w:eastAsiaTheme="minorHAnsi" w:hAnsi="Times New Roman" w:cs="Times New Roman"/>
                <w:bCs/>
                <w:iCs/>
                <w:sz w:val="24"/>
                <w:szCs w:val="28"/>
                <w:lang w:eastAsia="lt-LT"/>
              </w:rPr>
              <w:t xml:space="preserve"> „Mokinio individualios pažangos vertinimo metodika ir įrankiai“</w:t>
            </w:r>
            <w:r w:rsidR="00067585" w:rsidRPr="00B62953">
              <w:rPr>
                <w:rFonts w:ascii="Times New Roman" w:eastAsiaTheme="minorHAnsi" w:hAnsi="Times New Roman" w:cs="Times New Roman"/>
                <w:bCs/>
                <w:iCs/>
                <w:sz w:val="24"/>
                <w:szCs w:val="28"/>
                <w:lang w:eastAsia="lt-LT"/>
              </w:rPr>
              <w:t>;</w:t>
            </w:r>
          </w:p>
          <w:p w14:paraId="44CDD055" w14:textId="48CCC54B" w:rsidR="003D409F" w:rsidRPr="00B62953" w:rsidRDefault="00EB71C9" w:rsidP="0099639A">
            <w:pPr>
              <w:pStyle w:val="Sraopastraipa"/>
              <w:numPr>
                <w:ilvl w:val="0"/>
                <w:numId w:val="10"/>
              </w:numPr>
              <w:overflowPunct w:val="0"/>
              <w:ind w:left="0" w:firstLine="603"/>
              <w:jc w:val="both"/>
              <w:textAlignment w:val="baseline"/>
              <w:rPr>
                <w:rFonts w:ascii="Times New Roman" w:eastAsiaTheme="minorHAnsi" w:hAnsi="Times New Roman" w:cs="Times New Roman"/>
                <w:bCs/>
                <w:iCs/>
                <w:sz w:val="24"/>
                <w:szCs w:val="28"/>
                <w:lang w:eastAsia="lt-LT"/>
              </w:rPr>
            </w:pPr>
            <w:r w:rsidRPr="00B62953">
              <w:rPr>
                <w:rFonts w:ascii="Times New Roman" w:eastAsiaTheme="minorHAnsi" w:hAnsi="Times New Roman" w:cs="Times New Roman"/>
                <w:bCs/>
                <w:iCs/>
                <w:sz w:val="24"/>
                <w:szCs w:val="28"/>
                <w:lang w:eastAsia="lt-LT"/>
              </w:rPr>
              <w:t>3</w:t>
            </w:r>
            <w:r w:rsidR="006E1869" w:rsidRPr="00B62953">
              <w:rPr>
                <w:rFonts w:ascii="Times New Roman" w:eastAsiaTheme="minorHAnsi" w:hAnsi="Times New Roman" w:cs="Times New Roman"/>
                <w:bCs/>
                <w:iCs/>
                <w:sz w:val="24"/>
                <w:szCs w:val="28"/>
                <w:lang w:eastAsia="lt-LT"/>
              </w:rPr>
              <w:t xml:space="preserve">5 proc. pedagogų </w:t>
            </w:r>
            <w:r w:rsidR="000946BE" w:rsidRPr="00B62953">
              <w:rPr>
                <w:rFonts w:ascii="Times New Roman" w:eastAsiaTheme="minorHAnsi" w:hAnsi="Times New Roman" w:cs="Times New Roman"/>
                <w:bCs/>
                <w:iCs/>
                <w:sz w:val="24"/>
                <w:szCs w:val="28"/>
                <w:lang w:eastAsia="lt-LT"/>
              </w:rPr>
              <w:t xml:space="preserve">įvairiuose seminaruose </w:t>
            </w:r>
            <w:r w:rsidR="006E1869" w:rsidRPr="00B62953">
              <w:rPr>
                <w:rFonts w:ascii="Times New Roman" w:eastAsiaTheme="minorHAnsi" w:hAnsi="Times New Roman" w:cs="Times New Roman"/>
                <w:bCs/>
                <w:iCs/>
                <w:sz w:val="24"/>
                <w:szCs w:val="28"/>
                <w:lang w:eastAsia="lt-LT"/>
              </w:rPr>
              <w:t>tobulino savo profesines</w:t>
            </w:r>
            <w:r w:rsidR="000946BE" w:rsidRPr="00B62953">
              <w:rPr>
                <w:rFonts w:ascii="Times New Roman" w:eastAsiaTheme="minorHAnsi" w:hAnsi="Times New Roman" w:cs="Times New Roman"/>
                <w:bCs/>
                <w:iCs/>
                <w:sz w:val="24"/>
                <w:szCs w:val="28"/>
                <w:lang w:eastAsia="lt-LT"/>
              </w:rPr>
              <w:t>,</w:t>
            </w:r>
            <w:r w:rsidR="006E1869" w:rsidRPr="00B62953">
              <w:rPr>
                <w:rFonts w:ascii="Times New Roman" w:eastAsiaTheme="minorHAnsi" w:hAnsi="Times New Roman" w:cs="Times New Roman"/>
                <w:bCs/>
                <w:iCs/>
                <w:sz w:val="24"/>
                <w:szCs w:val="28"/>
                <w:lang w:eastAsia="lt-LT"/>
              </w:rPr>
              <w:t xml:space="preserve"> </w:t>
            </w:r>
            <w:r w:rsidR="000946BE" w:rsidRPr="00B62953">
              <w:rPr>
                <w:rFonts w:ascii="Times New Roman" w:eastAsiaTheme="minorHAnsi" w:hAnsi="Times New Roman" w:cs="Times New Roman"/>
                <w:bCs/>
                <w:iCs/>
                <w:sz w:val="24"/>
                <w:szCs w:val="28"/>
                <w:lang w:eastAsia="lt-LT"/>
              </w:rPr>
              <w:t xml:space="preserve">vadybines, bendrąsias ir </w:t>
            </w:r>
            <w:r w:rsidRPr="00B62953">
              <w:rPr>
                <w:rFonts w:ascii="Times New Roman" w:eastAsiaTheme="minorHAnsi" w:hAnsi="Times New Roman" w:cs="Times New Roman"/>
                <w:bCs/>
                <w:iCs/>
                <w:sz w:val="24"/>
                <w:szCs w:val="28"/>
                <w:lang w:eastAsia="lt-LT"/>
              </w:rPr>
              <w:t xml:space="preserve">specialiąsias </w:t>
            </w:r>
            <w:r w:rsidR="006E1869" w:rsidRPr="00B62953">
              <w:rPr>
                <w:rFonts w:ascii="Times New Roman" w:eastAsiaTheme="minorHAnsi" w:hAnsi="Times New Roman" w:cs="Times New Roman"/>
                <w:bCs/>
                <w:iCs/>
                <w:sz w:val="24"/>
                <w:szCs w:val="28"/>
                <w:lang w:eastAsia="lt-LT"/>
              </w:rPr>
              <w:t>kompetencijas</w:t>
            </w:r>
            <w:r w:rsidR="00067585" w:rsidRPr="00B62953">
              <w:rPr>
                <w:rFonts w:ascii="Times New Roman" w:eastAsiaTheme="minorHAnsi" w:hAnsi="Times New Roman" w:cs="Times New Roman"/>
                <w:bCs/>
                <w:iCs/>
                <w:sz w:val="24"/>
                <w:szCs w:val="28"/>
                <w:lang w:eastAsia="lt-LT"/>
              </w:rPr>
              <w:t>.</w:t>
            </w:r>
          </w:p>
          <w:p w14:paraId="389D166C" w14:textId="48A6A93B" w:rsidR="00EB71C9" w:rsidRPr="00583273" w:rsidRDefault="00EB71C9" w:rsidP="009E11B5">
            <w:pPr>
              <w:overflowPunct w:val="0"/>
              <w:ind w:firstLine="603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100 proc. Centro pedagogų dalyvavo rajono metodinių būrelių užsiėmimuose pagal savo </w:t>
            </w:r>
            <w:r w:rsidR="00485CDE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dėstomą ugdomąjį dalyką</w:t>
            </w: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.</w:t>
            </w:r>
          </w:p>
          <w:p w14:paraId="6034F49B" w14:textId="2DE4F29E" w:rsidR="0063408A" w:rsidRPr="00583273" w:rsidRDefault="0063408A" w:rsidP="00143F40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1.2. Stiprinti mokymosi motyvaciją atnaujinant ir modernizuojant mokymo(</w:t>
            </w:r>
            <w:proofErr w:type="spellStart"/>
            <w:r w:rsidRPr="00583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</w:t>
            </w:r>
            <w:proofErr w:type="spellEnd"/>
            <w:r w:rsidRPr="00583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aplinką, sudominant mokomuoju dalyku, parinkus mokymo metodus, skatinančius mokinių aktyvumą ir bendradarbiavimą.</w:t>
            </w:r>
          </w:p>
          <w:p w14:paraId="159544EF" w14:textId="77777777" w:rsidR="00583273" w:rsidRDefault="00522028" w:rsidP="00583273">
            <w:pPr>
              <w:overflowPunct w:val="0"/>
              <w:ind w:firstLine="603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Centre mok</w:t>
            </w:r>
            <w:r w:rsidR="00B32C71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ė</w:t>
            </w: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si jaunuoliai ir suaugę, kurie dėl įvairių psichologinių, socialinių, geografinių atskirčių</w:t>
            </w:r>
            <w:r w:rsidR="00014A8B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, šeimyninių ir darbo aplinkybių pasirinko mokymąsi nuotoliniu būdu. Mokinių motyvacijos stiprinimas </w:t>
            </w:r>
            <w:r w:rsidR="00B32C71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buvo</w:t>
            </w:r>
            <w:r w:rsidR="00014A8B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vienas iš svarbiausių ugdymo uždavinių. Tiksliniai pokalbiai su mokiniais individualios pažangos siekimo klausimais buvo vykdomi nuolat kontaktiniu ir nuotoliniu būd</w:t>
            </w:r>
            <w:r w:rsidR="00B32C71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u</w:t>
            </w:r>
            <w:r w:rsidR="00014A8B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.</w:t>
            </w:r>
            <w:r w:rsidR="00316490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Vyko </w:t>
            </w:r>
            <w:r w:rsidR="008E24C2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glaudus ir operatyvus </w:t>
            </w:r>
            <w:r w:rsidR="00316490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Centro administracijos, klasių vadovų ir socialinio pedagogo bendravimas </w:t>
            </w:r>
            <w:r w:rsidR="00B32C71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bei</w:t>
            </w:r>
            <w:r w:rsidR="00316490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bendradarbiavimas su nepilnamečių mokinių tėvais (globėjais/rūpintojais), šeimas prižiūrinčiais socialiniais darbuotojais, probacijų tarnybų specialistais, kitų ugdymo, švietimo ir socialines paslaugas teikiančių įstaigų darbuotojais. </w:t>
            </w:r>
          </w:p>
          <w:p w14:paraId="73982F63" w14:textId="77777777" w:rsidR="00583273" w:rsidRDefault="008E24C2" w:rsidP="00583273">
            <w:pPr>
              <w:overflowPunct w:val="0"/>
              <w:ind w:firstLine="603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Centro vaiko gerovės komisija organizavo 9 posėdžius, kuriuose ap</w:t>
            </w:r>
            <w:r w:rsidR="001768EA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tarta</w:t>
            </w:r>
            <w:r w:rsidR="00822554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163 mokini</w:t>
            </w:r>
            <w:r w:rsidR="001768EA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ų gerovė</w:t>
            </w:r>
            <w:r w:rsidR="00822554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. Posėdžių metu buvo analizuo</w:t>
            </w:r>
            <w:r w:rsidR="00B32C71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jam</w:t>
            </w:r>
            <w:r w:rsidR="00822554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os </w:t>
            </w:r>
            <w:r w:rsidR="00B32C71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mokinių </w:t>
            </w:r>
            <w:r w:rsidR="00822554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elgesio problemos, mokymosi sunkumai </w:t>
            </w:r>
            <w:r w:rsidR="00F80332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ir</w:t>
            </w:r>
            <w:r w:rsidR="00822554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pagal poreikį</w:t>
            </w:r>
            <w:r w:rsidR="00F80332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sudaryti individualūs mokymosi </w:t>
            </w:r>
            <w:r w:rsidR="00822554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pagalbos planai</w:t>
            </w:r>
            <w:r w:rsidR="00F80332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. </w:t>
            </w:r>
            <w:r w:rsidR="00B32C71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3</w:t>
            </w:r>
            <w:r w:rsidR="00F80332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mokiniams buvo vykdoma minimalios priežiūros priemonė.</w:t>
            </w:r>
          </w:p>
          <w:p w14:paraId="0C3D18E8" w14:textId="77777777" w:rsidR="00583273" w:rsidRDefault="00F80332" w:rsidP="00583273">
            <w:pPr>
              <w:overflowPunct w:val="0"/>
              <w:ind w:firstLine="603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Centro mokytojai dalyvavo </w:t>
            </w:r>
            <w:r w:rsidR="00B32C71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5</w:t>
            </w:r>
            <w:r w:rsidR="008E24C2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mokytojų tarybos posėdži</w:t>
            </w: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uose, kuriuose buvo analizuojama mokinių elgesio, pažangumo ir lankomumo situacija</w:t>
            </w:r>
            <w:r w:rsidR="008E24C2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.</w:t>
            </w: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</w:t>
            </w:r>
          </w:p>
          <w:p w14:paraId="7BF9D594" w14:textId="7210DEB7" w:rsidR="003D409F" w:rsidRPr="00583273" w:rsidRDefault="00822554" w:rsidP="00583273">
            <w:pPr>
              <w:overflowPunct w:val="0"/>
              <w:ind w:firstLine="603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Daug dėmesio buvo skiriama skaitmeninės mokymosi aplinkos atnaujinimui: </w:t>
            </w:r>
            <w:r w:rsidR="00B70499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tobulinama vaizdinė mokymosi medžiaga </w:t>
            </w:r>
            <w:proofErr w:type="spellStart"/>
            <w:r w:rsidR="00B70499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Moodle</w:t>
            </w:r>
            <w:proofErr w:type="spellEnd"/>
            <w:r w:rsidR="00B70499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sistemoje bei per vaizdo konsultacijas, sėkmingai apjungtos kelių mokomųjų dalykų konsultacijos ir integruotas jų turinys.</w:t>
            </w:r>
          </w:p>
          <w:p w14:paraId="4F5A439B" w14:textId="33170281" w:rsidR="0063408A" w:rsidRPr="00583273" w:rsidRDefault="0063408A" w:rsidP="00143F40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1.3. Atsižvelgti į mokinio reikmes ir tikslus, </w:t>
            </w:r>
            <w:r w:rsidRPr="0058327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pasirūpinti mokinio emociniu saugumu virtualioje aplinkoje ir įkvėpti jį siekti užsibrėžtų tikslų.</w:t>
            </w:r>
          </w:p>
          <w:p w14:paraId="0B036627" w14:textId="77777777" w:rsidR="00583273" w:rsidRDefault="006B460E" w:rsidP="00583273">
            <w:pPr>
              <w:overflowPunct w:val="0"/>
              <w:ind w:firstLine="603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2021 metais 80 proc. Centro mokinių mokėsi nuotoliniu būdu. </w:t>
            </w:r>
          </w:p>
          <w:p w14:paraId="017796F6" w14:textId="77777777" w:rsidR="00583273" w:rsidRDefault="00E71264" w:rsidP="00583273">
            <w:pPr>
              <w:overflowPunct w:val="0"/>
              <w:ind w:firstLine="603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Daugelis ugdytinių, atėj</w:t>
            </w:r>
            <w:r w:rsidR="00B32C71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usių</w:t>
            </w: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iš kitų ugdymo įstaigų, anksčiau yra patyrę psichologinį ir emocinį smurtą, nepritapę prie bendraamžių, aplinkos, konfliktavę su pedagogais. </w:t>
            </w:r>
            <w:r w:rsidR="003068A0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Daug </w:t>
            </w:r>
            <w:r w:rsidR="00673465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dėmes</w:t>
            </w:r>
            <w:r w:rsidR="003068A0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io</w:t>
            </w:r>
            <w:r w:rsidR="00673465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buvo skiriama mokinių emociniam </w:t>
            </w:r>
            <w:r w:rsidR="00F56580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ir psichologiniam </w:t>
            </w:r>
            <w:r w:rsidR="00673465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saugumui virtualioje aplinkoje</w:t>
            </w:r>
            <w:r w:rsidR="00775F42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.</w:t>
            </w:r>
            <w:r w:rsidR="00332244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Patyčių ir smurto prevencija davė teigiamų rezultatų, nes negautas nė vienas nusiskundimas.</w:t>
            </w:r>
          </w:p>
          <w:p w14:paraId="260E63E7" w14:textId="2033E226" w:rsidR="003D409F" w:rsidRPr="00583273" w:rsidRDefault="0067163F" w:rsidP="00583273">
            <w:pPr>
              <w:overflowPunct w:val="0"/>
              <w:ind w:firstLine="603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Centro direktoriaus pavaduotojas ugdymui ir socialinis pedagogas vykdė nuolatinę vaizdo konsultacijų stebėseną ir kontrolę. </w:t>
            </w:r>
            <w:r w:rsidR="00775F42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Klasių vadovai kart</w:t>
            </w:r>
            <w:r w:rsidR="00DB67C2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u</w:t>
            </w:r>
            <w:r w:rsidR="00775F42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su socialiniu pedagogu sprendė iškilusias problemas, individualiai bendravo su probleminiais mokiniais, jų tėvais (globėjais/rūpintojais), informavo tų mokinių šeimas prižiūrinčius socialinius darbuotojus ir kitus suinteresuotus specialistus.</w:t>
            </w:r>
            <w:r w:rsidR="00673465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</w:t>
            </w:r>
          </w:p>
          <w:p w14:paraId="5D65C288" w14:textId="50CC5E9F" w:rsidR="0063408A" w:rsidRPr="00583273" w:rsidRDefault="0063408A" w:rsidP="00143F40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1.4. Stiprinti šeimos</w:t>
            </w:r>
            <w:r w:rsidRPr="0058327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bei mokytojų daromą įtaką mokiniui.</w:t>
            </w:r>
          </w:p>
          <w:p w14:paraId="0AA31A72" w14:textId="77777777" w:rsidR="00583273" w:rsidRDefault="00E71264" w:rsidP="00583273">
            <w:pPr>
              <w:overflowPunct w:val="0"/>
              <w:ind w:firstLine="603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Siekiant stiprinti šeimos ir Centro pedagogų abipusį bendradarbiavimą buvo vykdomi individualūs pokalbiai su mokinių tėvais (rūpintojais/globėjais). </w:t>
            </w:r>
          </w:p>
          <w:p w14:paraId="0A228E87" w14:textId="16A31D2E" w:rsidR="00A71770" w:rsidRPr="00583273" w:rsidRDefault="00E71264" w:rsidP="00583273">
            <w:pPr>
              <w:overflowPunct w:val="0"/>
              <w:ind w:firstLine="603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Pagrindini</w:t>
            </w:r>
            <w:r w:rsidR="00A71770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ai</w:t>
            </w: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pokalbių tiksla</w:t>
            </w:r>
            <w:r w:rsidR="00A71770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i:</w:t>
            </w: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</w:t>
            </w:r>
          </w:p>
          <w:p w14:paraId="03EF90DD" w14:textId="2E350A4E" w:rsidR="00A71770" w:rsidRPr="00583273" w:rsidRDefault="00B62953" w:rsidP="0099639A">
            <w:pPr>
              <w:pStyle w:val="Sraopastraipa"/>
              <w:numPr>
                <w:ilvl w:val="0"/>
                <w:numId w:val="4"/>
              </w:numPr>
              <w:overflowPunct w:val="0"/>
              <w:ind w:left="36" w:firstLine="567"/>
              <w:jc w:val="both"/>
              <w:textAlignment w:val="baseline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lt-LT"/>
              </w:rPr>
              <w:t>I</w:t>
            </w:r>
            <w:r w:rsidR="00E71264" w:rsidRPr="00583273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lt-LT"/>
              </w:rPr>
              <w:t>šsiaiškinti tėvų požiūrį į vaikų ugdymąsi (lankomumas, pažangumas</w:t>
            </w:r>
            <w:r w:rsidR="00DD1C42" w:rsidRPr="00583273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lt-LT"/>
              </w:rPr>
              <w:t>)</w:t>
            </w:r>
            <w:r w:rsidR="00E71264" w:rsidRPr="00583273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bei išsilavinimo svarbą</w:t>
            </w:r>
            <w:r w:rsidR="00067585" w:rsidRPr="00583273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lt-LT"/>
              </w:rPr>
              <w:t>;</w:t>
            </w:r>
          </w:p>
          <w:p w14:paraId="6477C585" w14:textId="7CDF9342" w:rsidR="003D409F" w:rsidRPr="00583273" w:rsidRDefault="00B62953" w:rsidP="0099639A">
            <w:pPr>
              <w:pStyle w:val="Sraopastraipa"/>
              <w:numPr>
                <w:ilvl w:val="0"/>
                <w:numId w:val="4"/>
              </w:numPr>
              <w:overflowPunct w:val="0"/>
              <w:ind w:left="36" w:firstLine="567"/>
              <w:jc w:val="both"/>
              <w:textAlignment w:val="baseline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lt-LT"/>
              </w:rPr>
              <w:t>S</w:t>
            </w:r>
            <w:r w:rsidR="00A71770" w:rsidRPr="00583273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lt-LT"/>
              </w:rPr>
              <w:t>katinti tėvus prisidėti prie iškilusių problemų sprendimo ir savanoriškos pagalbos teikimo</w:t>
            </w:r>
            <w:r w:rsidR="00E71264" w:rsidRPr="00583273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lt-LT"/>
              </w:rPr>
              <w:t>.</w:t>
            </w:r>
          </w:p>
          <w:p w14:paraId="0E2AFDD5" w14:textId="3D1FFC96" w:rsidR="0063408A" w:rsidRPr="00583273" w:rsidRDefault="00DD1C42" w:rsidP="00583273">
            <w:pPr>
              <w:overflowPunct w:val="0"/>
              <w:ind w:firstLine="603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Pastebėta, kad dalis tėvų neturi jokios įtakos vaikų elgesiui bei </w:t>
            </w:r>
            <w:r w:rsidR="00E17E53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jų </w:t>
            </w: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gyvenimo būdui, todėl </w:t>
            </w:r>
            <w:r w:rsidR="00E17E53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buvo </w:t>
            </w: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glaudžiai bendradarbiaujama su šeimas prižiūrinčiais socialiniais darbuotojais </w:t>
            </w:r>
            <w:r w:rsidR="00A71770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i</w:t>
            </w: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r</w:t>
            </w:r>
            <w:r w:rsidR="00A71770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kitų suinteresuotų</w:t>
            </w: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tarnybų specialistais</w:t>
            </w:r>
            <w:r w:rsidR="00BF1641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: buvo parengtos ir pateiktos 93 pažymos</w:t>
            </w:r>
            <w:r w:rsidR="00332244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suinteresuotoms institucijoms </w:t>
            </w:r>
            <w:r w:rsidR="00BF1641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mokinių mokymosi klausimais. </w:t>
            </w:r>
          </w:p>
          <w:p w14:paraId="3D040454" w14:textId="5780184D" w:rsidR="0063408A" w:rsidRPr="00583273" w:rsidRDefault="0063408A" w:rsidP="00143F40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73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lt-LT"/>
              </w:rPr>
              <w:t xml:space="preserve">2 tikslas. </w:t>
            </w:r>
            <w:r w:rsidRPr="00583273">
              <w:rPr>
                <w:rFonts w:ascii="Times New Roman" w:hAnsi="Times New Roman" w:cs="Times New Roman"/>
                <w:b/>
                <w:sz w:val="24"/>
                <w:szCs w:val="24"/>
              </w:rPr>
              <w:t>Neformaliojo ugdymo renginių skaičiaus didinimas 10 procentų kasmet.</w:t>
            </w:r>
          </w:p>
          <w:p w14:paraId="68311A03" w14:textId="34025A03" w:rsidR="00332244" w:rsidRPr="00583273" w:rsidRDefault="00332244" w:rsidP="00143F40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Uždaviniai: </w:t>
            </w:r>
          </w:p>
          <w:p w14:paraId="405D3C70" w14:textId="2BDF706A" w:rsidR="0063408A" w:rsidRPr="00583273" w:rsidRDefault="000C743B" w:rsidP="00143F40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2.1.</w:t>
            </w:r>
            <w:r w:rsidR="00081F65" w:rsidRPr="00583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83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Tirti pedagogų ir kitų bendruomenės narių kvalifikacijos tobulinimo poreikius, užtikrinti ir išsiaiškinti grįžtamąjį ryšį.</w:t>
            </w:r>
          </w:p>
          <w:p w14:paraId="60D86330" w14:textId="10B215FF" w:rsidR="00280F7E" w:rsidRPr="00583273" w:rsidRDefault="007C3BCF" w:rsidP="00583273">
            <w:pPr>
              <w:overflowPunct w:val="0"/>
              <w:ind w:firstLine="603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Siekiant išsiaiškinti rajono pedagoginės bendruomenės narių kvalifikacijos tobulinimo poreikius buvo atlikta viena apklausa. Joje dalyvavo rajono metodinių būrelių nariai. </w:t>
            </w:r>
            <w:r w:rsidR="00053C96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Pedagogai pageidavo, kad seminarai ir kiti kvalifikacijos tobulinimo renginiai vyktų per mokinių atostogas, po pamokų kontaktiniu ar nuotoliniu būdu. </w:t>
            </w:r>
            <w:r w:rsidR="005D71B4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Dalis seminarų ir mokymų buvo organizuojami a</w:t>
            </w:r>
            <w:r w:rsidR="00053C96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tsižvelgiant į </w:t>
            </w:r>
            <w:r w:rsidR="003F35CB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pedagogų pa</w:t>
            </w:r>
            <w:r w:rsidR="005D71B4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siūl</w:t>
            </w:r>
            <w:r w:rsidR="003F35CB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yt</w:t>
            </w:r>
            <w:r w:rsidR="005D71B4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us lektorius ir tematiką</w:t>
            </w:r>
            <w:r w:rsidR="00053C96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.</w:t>
            </w:r>
            <w:r w:rsidR="005D71B4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</w:t>
            </w:r>
          </w:p>
          <w:p w14:paraId="63DA7CB7" w14:textId="507E531C" w:rsidR="0063408A" w:rsidRPr="00583273" w:rsidRDefault="000C743B" w:rsidP="00143F40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2.2. Analizuoti paslaugų ir kvalifikacijos tobulinimo renginių kokybę bei veiksmingumą pedagogų ir kitų bendruomenės narių profesinei veiklai, numatyti veiklos tobulinimo aspektus.</w:t>
            </w:r>
          </w:p>
          <w:p w14:paraId="511945D0" w14:textId="2798A46D" w:rsidR="00044975" w:rsidRPr="00583273" w:rsidRDefault="00B05EAA" w:rsidP="00583273">
            <w:pPr>
              <w:overflowPunct w:val="0"/>
              <w:ind w:firstLine="603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Renginių kokybės vertinimas vyko išanalizavus atlikt</w:t>
            </w:r>
            <w:r w:rsidR="00175C45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ų</w:t>
            </w: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apklaus</w:t>
            </w:r>
            <w:r w:rsidR="0076310A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ų</w:t>
            </w:r>
            <w:r w:rsidR="00175C45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(devynių)</w:t>
            </w: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duomenis. </w:t>
            </w:r>
            <w:r w:rsidR="00175C45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D</w:t>
            </w: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alyviai</w:t>
            </w:r>
            <w:r w:rsidR="00CF197E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</w:t>
            </w:r>
            <w:r w:rsidR="003D2AF3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teigiamai į</w:t>
            </w:r>
            <w:r w:rsidR="00175C45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vertino renginio teorinę ir praktinę naudą, turinio aktualumą, jo pateikimą ir renginio organizuotumą.</w:t>
            </w:r>
          </w:p>
          <w:p w14:paraId="390918B2" w14:textId="2C7CB5FD" w:rsidR="0063408A" w:rsidRPr="00583273" w:rsidRDefault="00350B32" w:rsidP="00143F40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2.3. Ieškoti naujų būdų ir šiuolaikiškų metodų, įgalinančių tobulinti suaugusiųjų švietimą stiprinti mokymosi visą gyvenimą nuostatą.</w:t>
            </w:r>
          </w:p>
          <w:p w14:paraId="272D77C3" w14:textId="7C70BC11" w:rsidR="00822A72" w:rsidRPr="00583273" w:rsidRDefault="00822A72" w:rsidP="00583273">
            <w:pPr>
              <w:overflowPunct w:val="0"/>
              <w:ind w:firstLine="603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Centras turi 22 kvalifikacijos tobulinimo programas prilygintas akredituotoms. Pagal jas organizuojami renginiai pedagoginei bendruomenei.</w:t>
            </w:r>
          </w:p>
          <w:p w14:paraId="25E6A39B" w14:textId="02B8623A" w:rsidR="00A53A7E" w:rsidRPr="00583273" w:rsidRDefault="005D71B4" w:rsidP="00583273">
            <w:pPr>
              <w:overflowPunct w:val="0"/>
              <w:ind w:firstLine="603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Per ataskaitinį laikotarpį buvo parengt</w:t>
            </w:r>
            <w:r w:rsidR="003D2AF3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os</w:t>
            </w:r>
            <w:r w:rsidR="00A53A7E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dvi institucinio lygmens kvalifikacijos tobulinimo programos:</w:t>
            </w:r>
          </w:p>
          <w:p w14:paraId="3D24AD92" w14:textId="5251BCB1" w:rsidR="0063408A" w:rsidRPr="00583273" w:rsidRDefault="00A53A7E" w:rsidP="0099639A">
            <w:pPr>
              <w:pStyle w:val="Sraopastraipa"/>
              <w:numPr>
                <w:ilvl w:val="0"/>
                <w:numId w:val="5"/>
              </w:numPr>
              <w:overflowPunct w:val="0"/>
              <w:ind w:left="0" w:firstLine="603"/>
              <w:jc w:val="both"/>
              <w:textAlignment w:val="baseline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583273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lt-LT"/>
              </w:rPr>
              <w:t>„M</w:t>
            </w:r>
            <w:r w:rsidRPr="00583273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okytojų ir pagalbos mokiniui specialistų skaitmeninio raštingumo kompetencijos tobulinimo programa“ (trukmė – 80 val.). Organizuoti dveji mokymai, dalyvavo 23 </w:t>
            </w:r>
            <w:r w:rsidR="008A4A1B" w:rsidRPr="00583273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pedagogai. </w:t>
            </w:r>
          </w:p>
          <w:p w14:paraId="24C0B894" w14:textId="201512D8" w:rsidR="008A4A1B" w:rsidRPr="00583273" w:rsidRDefault="008A4A1B" w:rsidP="0099639A">
            <w:pPr>
              <w:pStyle w:val="Sraopastraipa"/>
              <w:numPr>
                <w:ilvl w:val="0"/>
                <w:numId w:val="5"/>
              </w:numPr>
              <w:overflowPunct w:val="0"/>
              <w:ind w:left="0" w:firstLine="603"/>
              <w:jc w:val="both"/>
              <w:textAlignment w:val="baseline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583273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lt-LT"/>
              </w:rPr>
              <w:t>„Mokytojo padėjėjo rengimo programa“ (trukmė – 40 val.). Organizuoti vieni mokymai, dalyvavo 16 bendruomenės narių.</w:t>
            </w:r>
          </w:p>
          <w:p w14:paraId="3A624F3F" w14:textId="6851A00D" w:rsidR="008A4A1B" w:rsidRPr="00583273" w:rsidRDefault="008A4A1B" w:rsidP="00583273">
            <w:pPr>
              <w:overflowPunct w:val="0"/>
              <w:ind w:firstLine="603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Iš viso per 2021 metus organizuoti 9 kvalifikacijos tobulinimo renginiai: 3 mokymai ir 6 seminarai. Dalyvavo 179 pedagogai.</w:t>
            </w:r>
          </w:p>
          <w:p w14:paraId="6A1213F2" w14:textId="163BCDFF" w:rsidR="00987A4F" w:rsidRPr="00583273" w:rsidRDefault="00987A4F" w:rsidP="00583273">
            <w:pPr>
              <w:overflowPunct w:val="0"/>
              <w:ind w:firstLine="603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66 proc. visų seminarų vyko nuotoliniu būdu. </w:t>
            </w:r>
            <w:r w:rsidR="003D2AF3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Atsižvelgiant į rajono pedagogų pageidavimus b</w:t>
            </w:r>
            <w:r w:rsidR="00F2089D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uvo pasiūlyta daugiau ir įvairesnės tematikos seminarų</w:t>
            </w: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, </w:t>
            </w:r>
            <w:r w:rsidR="003D2AF3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kurie buvo </w:t>
            </w: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organizuoti </w:t>
            </w:r>
            <w:r w:rsidR="003D2AF3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per </w:t>
            </w: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moksleivių rudens atostog</w:t>
            </w:r>
            <w:r w:rsidR="003D2AF3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as</w:t>
            </w: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, tačiau</w:t>
            </w:r>
            <w:r w:rsidR="003D2AF3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, nesusirinkus reikalingam dalyvių skaičiui, renginiai neįvyko</w:t>
            </w: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.</w:t>
            </w:r>
          </w:p>
          <w:p w14:paraId="5CC686DB" w14:textId="4B9EED72" w:rsidR="00280F7E" w:rsidRPr="00583273" w:rsidRDefault="00822A72" w:rsidP="00583273">
            <w:pPr>
              <w:overflowPunct w:val="0"/>
              <w:ind w:firstLine="603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lastRenderedPageBreak/>
              <w:t>Centras vykd</w:t>
            </w:r>
            <w:r w:rsidR="003D2AF3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ė</w:t>
            </w: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ir rajono pedagogų metodinę veiklą. </w:t>
            </w:r>
            <w:r w:rsidR="00CD4CD6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Per </w:t>
            </w: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ataskaitinį laikotarpį organizuoti </w:t>
            </w:r>
            <w:r w:rsidR="00CD4CD6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44 metodiniai užsiėmimai, </w:t>
            </w:r>
            <w:r w:rsidR="003D2AF3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kuriuose pedagogai dalijosi gerąją patirtimi, naujausia metodine ir dalykine informacija. D</w:t>
            </w:r>
            <w:r w:rsidR="00CD4CD6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alyvavo 396 pedagogai.</w:t>
            </w:r>
          </w:p>
          <w:p w14:paraId="460CBA7F" w14:textId="2EC54DE4" w:rsidR="0063408A" w:rsidRPr="00583273" w:rsidRDefault="00350B32" w:rsidP="00143F40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83273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lt-LT"/>
              </w:rPr>
              <w:t xml:space="preserve">3 tikslas. </w:t>
            </w:r>
            <w:r w:rsidRPr="0058327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Bendruomenės narių profesinio veiklumo padidinimas apie 50 proc.</w:t>
            </w:r>
          </w:p>
          <w:p w14:paraId="6249F92B" w14:textId="713C2DA1" w:rsidR="00130D2A" w:rsidRPr="00583273" w:rsidRDefault="00130D2A" w:rsidP="00143F40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 xml:space="preserve">Uždaviniai: </w:t>
            </w:r>
          </w:p>
          <w:p w14:paraId="3AB07558" w14:textId="16653576" w:rsidR="0063408A" w:rsidRPr="00583273" w:rsidRDefault="00350B32" w:rsidP="00143F40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lt-LT"/>
              </w:rPr>
              <w:t xml:space="preserve">3.1. </w:t>
            </w:r>
            <w:r w:rsidRPr="0058327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Padėti asmenims įgyti kompetencijų ir (ar) kvalifikaciją, atitinkančią šiuolaikinį kultūros bei technologijų lygį ir padedančią jiems įsitvirtinti bei sėkmingai konkuruoti tolydžiai kintančioje darbo rinkoje.</w:t>
            </w:r>
          </w:p>
          <w:p w14:paraId="58DA9669" w14:textId="347A9385" w:rsidR="00694A7E" w:rsidRPr="00583273" w:rsidRDefault="00694A7E" w:rsidP="00583273">
            <w:pPr>
              <w:overflowPunct w:val="0"/>
              <w:ind w:firstLine="603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Per ataskaitinį laikotarpį įvyko dveji mokymai pagal šias programas:</w:t>
            </w:r>
          </w:p>
          <w:p w14:paraId="77CFAE43" w14:textId="19828B9E" w:rsidR="0063408A" w:rsidRPr="00B62953" w:rsidRDefault="00694A7E" w:rsidP="0099639A">
            <w:pPr>
              <w:pStyle w:val="Sraopastraipa"/>
              <w:numPr>
                <w:ilvl w:val="0"/>
                <w:numId w:val="8"/>
              </w:numPr>
              <w:overflowPunct w:val="0"/>
              <w:ind w:left="36" w:firstLine="567"/>
              <w:jc w:val="both"/>
              <w:textAlignment w:val="baseline"/>
              <w:rPr>
                <w:rFonts w:ascii="Times New Roman" w:eastAsiaTheme="minorHAnsi" w:hAnsi="Times New Roman" w:cs="Times New Roman"/>
                <w:bCs/>
                <w:iCs/>
                <w:sz w:val="24"/>
                <w:szCs w:val="28"/>
                <w:lang w:eastAsia="lt-LT"/>
              </w:rPr>
            </w:pPr>
            <w:r w:rsidRPr="00B62953">
              <w:rPr>
                <w:rFonts w:ascii="Times New Roman" w:eastAsiaTheme="minorHAnsi" w:hAnsi="Times New Roman" w:cs="Times New Roman"/>
                <w:bCs/>
                <w:iCs/>
                <w:sz w:val="24"/>
                <w:szCs w:val="28"/>
                <w:lang w:eastAsia="lt-LT"/>
              </w:rPr>
              <w:t>Virėjo modulinę profesinio mokymo programos modulį „</w:t>
            </w:r>
            <w:r w:rsidR="000A78CF" w:rsidRPr="00B62953">
              <w:rPr>
                <w:rFonts w:ascii="Times New Roman" w:eastAsiaTheme="minorHAnsi" w:hAnsi="Times New Roman" w:cs="Times New Roman"/>
                <w:bCs/>
                <w:iCs/>
                <w:sz w:val="24"/>
                <w:szCs w:val="28"/>
                <w:lang w:eastAsia="lt-LT"/>
              </w:rPr>
              <w:t>Nesudėtingos technologijos patiekalų gaminimas“ (360 val.), dalyvavo 5 mokiniai;</w:t>
            </w:r>
          </w:p>
          <w:p w14:paraId="40AEB7A8" w14:textId="0FFC11E4" w:rsidR="00F92833" w:rsidRPr="00B62953" w:rsidRDefault="00694A7E" w:rsidP="0099639A">
            <w:pPr>
              <w:pStyle w:val="Sraopastraipa"/>
              <w:numPr>
                <w:ilvl w:val="0"/>
                <w:numId w:val="8"/>
              </w:numPr>
              <w:overflowPunct w:val="0"/>
              <w:ind w:left="36" w:firstLine="567"/>
              <w:jc w:val="both"/>
              <w:textAlignment w:val="baseline"/>
              <w:rPr>
                <w:rFonts w:ascii="Times New Roman" w:eastAsiaTheme="minorHAnsi" w:hAnsi="Times New Roman" w:cs="Times New Roman"/>
                <w:bCs/>
                <w:iCs/>
                <w:sz w:val="24"/>
                <w:szCs w:val="28"/>
                <w:lang w:eastAsia="lt-LT"/>
              </w:rPr>
            </w:pPr>
            <w:r w:rsidRPr="00B62953">
              <w:rPr>
                <w:rFonts w:ascii="Times New Roman" w:eastAsiaTheme="minorHAnsi" w:hAnsi="Times New Roman" w:cs="Times New Roman"/>
                <w:bCs/>
                <w:iCs/>
                <w:sz w:val="24"/>
                <w:szCs w:val="28"/>
                <w:lang w:eastAsia="lt-LT"/>
              </w:rPr>
              <w:t>Socialinio darbuotojo padėjėjo modulinę profesinio mokymo programos modulį „Bendrųjų socialinių paslaugų teikimas“ (180 val.). Dalyvavo 5 mokiniai.</w:t>
            </w:r>
          </w:p>
          <w:p w14:paraId="168A5A59" w14:textId="3BC1549D" w:rsidR="0063408A" w:rsidRPr="00583273" w:rsidRDefault="00350B32" w:rsidP="00143F40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lt-LT"/>
              </w:rPr>
              <w:t xml:space="preserve">3.2. </w:t>
            </w:r>
            <w:r w:rsidRPr="0058327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Perteikti technologijų, ekonomikos ir verslo kultūros pagrindus, būtinus šalies ūkio pažangai, konkurencingumui ir darniai raidai laiduoti.</w:t>
            </w:r>
          </w:p>
          <w:p w14:paraId="64D7BCF3" w14:textId="11FB025F" w:rsidR="00F92833" w:rsidRPr="00583273" w:rsidRDefault="00F92833" w:rsidP="009565AD">
            <w:pPr>
              <w:overflowPunct w:val="0"/>
              <w:ind w:firstLine="603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Centras rajono bendruomenei gali pasiūl</w:t>
            </w:r>
            <w:r w:rsidR="003D2AF3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ė</w:t>
            </w: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7 licencijuotas tęstinio formaliojo profesinio mokymo programas</w:t>
            </w:r>
            <w:r w:rsidR="003D2AF3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:</w:t>
            </w: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dailidės, kirpėjo, medienos apdirbimo staklininko, mūrininko, siuvėjo, staliaus, virėjo. </w:t>
            </w:r>
            <w:r w:rsidR="003D2AF3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Bendruomenei buvo siūlomi </w:t>
            </w:r>
            <w:r w:rsidR="00F90AD7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29 šių programų</w:t>
            </w: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moduli</w:t>
            </w:r>
            <w:r w:rsidR="00F90AD7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ai</w:t>
            </w: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.</w:t>
            </w:r>
          </w:p>
          <w:p w14:paraId="535FF546" w14:textId="03826828" w:rsidR="00F92833" w:rsidRPr="00583273" w:rsidRDefault="00F92833" w:rsidP="009565AD">
            <w:pPr>
              <w:overflowPunct w:val="0"/>
              <w:ind w:firstLine="603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2021 m. rugpjūčio mėnesį Centras įgijo teisę vykdyti pirminio profesinio mokymo programas: </w:t>
            </w:r>
          </w:p>
          <w:p w14:paraId="2351599F" w14:textId="77777777" w:rsidR="00F92833" w:rsidRPr="00B62953" w:rsidRDefault="00F92833" w:rsidP="0099639A">
            <w:pPr>
              <w:pStyle w:val="Sraopastraipa"/>
              <w:numPr>
                <w:ilvl w:val="0"/>
                <w:numId w:val="9"/>
              </w:numPr>
              <w:overflowPunct w:val="0"/>
              <w:ind w:left="1170" w:hanging="567"/>
              <w:jc w:val="both"/>
              <w:textAlignment w:val="baseline"/>
              <w:rPr>
                <w:rFonts w:ascii="Times New Roman" w:eastAsiaTheme="minorHAnsi" w:hAnsi="Times New Roman" w:cs="Times New Roman"/>
                <w:bCs/>
                <w:iCs/>
                <w:sz w:val="24"/>
                <w:szCs w:val="28"/>
                <w:lang w:eastAsia="lt-LT"/>
              </w:rPr>
            </w:pPr>
            <w:r w:rsidRPr="00B62953">
              <w:rPr>
                <w:rFonts w:ascii="Times New Roman" w:eastAsiaTheme="minorHAnsi" w:hAnsi="Times New Roman" w:cs="Times New Roman"/>
                <w:bCs/>
                <w:iCs/>
                <w:sz w:val="24"/>
                <w:szCs w:val="28"/>
                <w:lang w:eastAsia="lt-LT"/>
              </w:rPr>
              <w:t>Virėjo (žmonėms, turintiems pradinį ir/ar pagrindinį išsilavinimą);</w:t>
            </w:r>
          </w:p>
          <w:p w14:paraId="47185993" w14:textId="0A12AE86" w:rsidR="001001AE" w:rsidRPr="00B62953" w:rsidRDefault="00F92833" w:rsidP="0099639A">
            <w:pPr>
              <w:pStyle w:val="Sraopastraipa"/>
              <w:numPr>
                <w:ilvl w:val="0"/>
                <w:numId w:val="9"/>
              </w:numPr>
              <w:overflowPunct w:val="0"/>
              <w:ind w:left="1170" w:hanging="567"/>
              <w:jc w:val="both"/>
              <w:textAlignment w:val="baseline"/>
              <w:rPr>
                <w:rFonts w:ascii="Times New Roman" w:eastAsiaTheme="minorHAnsi" w:hAnsi="Times New Roman" w:cs="Times New Roman"/>
                <w:bCs/>
                <w:iCs/>
                <w:sz w:val="24"/>
                <w:szCs w:val="28"/>
                <w:lang w:eastAsia="lt-LT"/>
              </w:rPr>
            </w:pPr>
            <w:r w:rsidRPr="00B62953">
              <w:rPr>
                <w:rFonts w:ascii="Times New Roman" w:eastAsiaTheme="minorHAnsi" w:hAnsi="Times New Roman" w:cs="Times New Roman"/>
                <w:bCs/>
                <w:iCs/>
                <w:sz w:val="24"/>
                <w:szCs w:val="28"/>
                <w:lang w:eastAsia="lt-LT"/>
              </w:rPr>
              <w:t>Socialinio darbuotojo padėjėjo (žmonėms, turintiems pagrindinį išsilavinimą).</w:t>
            </w:r>
          </w:p>
          <w:p w14:paraId="383DFCA7" w14:textId="6B7C7C22" w:rsidR="0063408A" w:rsidRPr="00583273" w:rsidRDefault="00350B32" w:rsidP="00143F40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lt-LT"/>
              </w:rPr>
              <w:t xml:space="preserve">3.3. </w:t>
            </w:r>
            <w:r w:rsidRPr="0058327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Stiprinti ryšius ir bendradarbiavimą su esamais ir potencialiais darbdaviais, didinant gyventojų užimtumą.</w:t>
            </w:r>
          </w:p>
          <w:p w14:paraId="0ABC18D3" w14:textId="162AA4C1" w:rsidR="001001AE" w:rsidRPr="00583273" w:rsidRDefault="00706066" w:rsidP="009565AD">
            <w:pPr>
              <w:overflowPunct w:val="0"/>
              <w:ind w:firstLine="603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Per ataskaitinį laikotarpį buvo</w:t>
            </w:r>
            <w:r w:rsidR="00F92833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sudarytos </w:t>
            </w:r>
            <w:r w:rsidR="00482064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penkios </w:t>
            </w:r>
            <w:r w:rsidR="00F92833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bendradarbiavimo sutartys su</w:t>
            </w:r>
            <w:r w:rsidR="00482064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:</w:t>
            </w:r>
            <w:r w:rsidR="00F92833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</w:t>
            </w:r>
            <w:r w:rsidR="00130D2A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IĮ </w:t>
            </w:r>
            <w:r w:rsidR="00F92833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MVK 3</w:t>
            </w:r>
            <w:r w:rsidR="00130D2A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(kavinė-sodyba „</w:t>
            </w:r>
            <w:proofErr w:type="spellStart"/>
            <w:r w:rsidR="00130D2A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Viliošiai</w:t>
            </w:r>
            <w:proofErr w:type="spellEnd"/>
            <w:r w:rsidR="00130D2A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“)</w:t>
            </w:r>
            <w:r w:rsidR="00F92833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, VšĮ Naujosios Akmenės ligonine, Akmenės rajono visuomenės sveikatos biuru, </w:t>
            </w:r>
            <w:r w:rsidR="00F0632D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UAB „Maisto slėnis“, Lietuvos jaunimo organizacijų taryba.</w:t>
            </w:r>
          </w:p>
          <w:p w14:paraId="1FB69817" w14:textId="5401BABE" w:rsidR="00350B32" w:rsidRPr="00583273" w:rsidRDefault="00350B32" w:rsidP="00143F40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lt-LT"/>
              </w:rPr>
            </w:pPr>
            <w:r w:rsidRPr="0058327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lt-LT"/>
              </w:rPr>
              <w:t xml:space="preserve">3.4. </w:t>
            </w:r>
            <w:r w:rsidRPr="0058327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Stiprinti ir skatinti rajono gyventojų sėkmingą integraciją į vietos bendruomenes, socialinį gyvenimą, darbo rinką.</w:t>
            </w:r>
          </w:p>
          <w:p w14:paraId="761DD551" w14:textId="59BB5FBB" w:rsidR="00E203E0" w:rsidRPr="009565AD" w:rsidRDefault="000969E0" w:rsidP="009565AD">
            <w:pPr>
              <w:overflowPunct w:val="0"/>
              <w:ind w:firstLine="603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  <w:lang w:eastAsia="lt-LT"/>
              </w:rPr>
            </w:pPr>
            <w:r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3</w:t>
            </w:r>
            <w:r w:rsidR="00706066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0 proc. profesiniuose mokymuose dalyvavusių mokinių įsidarbino </w:t>
            </w:r>
            <w:r w:rsidR="00665494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ir</w:t>
            </w:r>
            <w:r w:rsidR="00706066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pagerino </w:t>
            </w:r>
            <w:r w:rsidR="00665494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savo </w:t>
            </w:r>
            <w:r w:rsidR="00706066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socialinio gyvenimo kokybę. Centro specialistai </w:t>
            </w:r>
            <w:r w:rsidR="00F90AD7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buvo </w:t>
            </w:r>
            <w:r w:rsidR="00706066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pasiruošę operatyviai teikti socialinę ir pedagoginę pagalbą</w:t>
            </w:r>
            <w:r w:rsidR="00665494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bendruomenės nariams</w:t>
            </w:r>
            <w:r w:rsidR="00F90AD7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, bet nebuvo poreikio</w:t>
            </w:r>
            <w:r w:rsidR="00665494" w:rsidRPr="0058327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.</w:t>
            </w:r>
          </w:p>
        </w:tc>
      </w:tr>
    </w:tbl>
    <w:p w14:paraId="5906F59F" w14:textId="41C74CBF" w:rsidR="00267102" w:rsidRPr="00583273" w:rsidRDefault="00267102" w:rsidP="00267102">
      <w:pPr>
        <w:jc w:val="center"/>
        <w:rPr>
          <w:b/>
          <w:lang w:eastAsia="lt-LT"/>
        </w:rPr>
      </w:pPr>
    </w:p>
    <w:p w14:paraId="16765675" w14:textId="0A94219C" w:rsidR="00C07319" w:rsidRPr="00583273" w:rsidRDefault="00C07319" w:rsidP="00C07319">
      <w:pPr>
        <w:overflowPunct w:val="0"/>
        <w:jc w:val="both"/>
        <w:textAlignment w:val="baseline"/>
        <w:rPr>
          <w:i/>
          <w:szCs w:val="24"/>
          <w:lang w:eastAsia="lt-LT"/>
        </w:rPr>
      </w:pPr>
      <w:r w:rsidRPr="00583273">
        <w:rPr>
          <w:b/>
          <w:i/>
          <w:szCs w:val="24"/>
          <w:lang w:eastAsia="lt-LT"/>
        </w:rPr>
        <w:t>Išvada.</w:t>
      </w:r>
      <w:r w:rsidRPr="00583273">
        <w:rPr>
          <w:i/>
          <w:szCs w:val="24"/>
          <w:lang w:eastAsia="lt-LT"/>
        </w:rPr>
        <w:t xml:space="preserve"> Jaunimo ir suaugusiųjų švietimo centro pedagog</w:t>
      </w:r>
      <w:r w:rsidR="00DE3675" w:rsidRPr="00583273">
        <w:rPr>
          <w:i/>
          <w:szCs w:val="24"/>
          <w:lang w:eastAsia="lt-LT"/>
        </w:rPr>
        <w:t xml:space="preserve">ai stengiasi gerinti veiklų kokybę, </w:t>
      </w:r>
      <w:r w:rsidRPr="00583273">
        <w:rPr>
          <w:i/>
          <w:szCs w:val="24"/>
          <w:lang w:eastAsia="lt-LT"/>
        </w:rPr>
        <w:t>inicijuo</w:t>
      </w:r>
      <w:r w:rsidR="00DE3675" w:rsidRPr="00583273">
        <w:rPr>
          <w:i/>
          <w:szCs w:val="24"/>
          <w:lang w:eastAsia="lt-LT"/>
        </w:rPr>
        <w:t>ti</w:t>
      </w:r>
      <w:r w:rsidRPr="00583273">
        <w:rPr>
          <w:i/>
          <w:szCs w:val="24"/>
          <w:lang w:eastAsia="lt-LT"/>
        </w:rPr>
        <w:t xml:space="preserve"> pokyčius, susijusius su mokinių pasiekimais, kiekybini</w:t>
      </w:r>
      <w:r w:rsidR="00DE3675" w:rsidRPr="00583273">
        <w:rPr>
          <w:i/>
          <w:szCs w:val="24"/>
          <w:lang w:eastAsia="lt-LT"/>
        </w:rPr>
        <w:t>u</w:t>
      </w:r>
      <w:r w:rsidRPr="00583273">
        <w:rPr>
          <w:i/>
          <w:szCs w:val="24"/>
          <w:lang w:eastAsia="lt-LT"/>
        </w:rPr>
        <w:t xml:space="preserve"> ir kokybini</w:t>
      </w:r>
      <w:r w:rsidR="00DE3675" w:rsidRPr="00583273">
        <w:rPr>
          <w:i/>
          <w:szCs w:val="24"/>
          <w:lang w:eastAsia="lt-LT"/>
        </w:rPr>
        <w:t>u</w:t>
      </w:r>
      <w:r w:rsidRPr="00583273">
        <w:rPr>
          <w:i/>
          <w:szCs w:val="24"/>
          <w:lang w:eastAsia="lt-LT"/>
        </w:rPr>
        <w:t xml:space="preserve"> paslaugų teikimu. </w:t>
      </w:r>
    </w:p>
    <w:p w14:paraId="35092587" w14:textId="24277831" w:rsidR="00C07319" w:rsidRPr="00583273" w:rsidRDefault="00C07319" w:rsidP="00C07319">
      <w:pPr>
        <w:overflowPunct w:val="0"/>
        <w:jc w:val="both"/>
        <w:textAlignment w:val="baseline"/>
        <w:rPr>
          <w:szCs w:val="24"/>
          <w:lang w:eastAsia="lt-LT"/>
        </w:rPr>
      </w:pPr>
    </w:p>
    <w:p w14:paraId="653F0153" w14:textId="388FC1F6" w:rsidR="00C07319" w:rsidRPr="00583273" w:rsidRDefault="00C07319" w:rsidP="00F01429">
      <w:pPr>
        <w:rPr>
          <w:bCs/>
          <w:lang w:eastAsia="lt-LT"/>
        </w:rPr>
      </w:pPr>
    </w:p>
    <w:p w14:paraId="72FBD31C" w14:textId="77777777" w:rsidR="00134EDA" w:rsidRPr="00583273" w:rsidRDefault="00134EDA" w:rsidP="00267102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331996BA" w14:textId="081FB6D8" w:rsidR="00C947E8" w:rsidRPr="009565AD" w:rsidRDefault="00C947E8" w:rsidP="00E4660C">
      <w:pPr>
        <w:tabs>
          <w:tab w:val="left" w:pos="7513"/>
        </w:tabs>
        <w:jc w:val="both"/>
        <w:rPr>
          <w:szCs w:val="24"/>
          <w:lang w:eastAsia="lt-LT"/>
        </w:rPr>
      </w:pPr>
      <w:r w:rsidRPr="00583273">
        <w:rPr>
          <w:szCs w:val="24"/>
          <w:lang w:eastAsia="lt-LT"/>
        </w:rPr>
        <w:t>Direktorė</w:t>
      </w:r>
      <w:r w:rsidR="006C60EF" w:rsidRPr="00583273">
        <w:rPr>
          <w:szCs w:val="24"/>
          <w:lang w:eastAsia="lt-LT"/>
        </w:rPr>
        <w:tab/>
      </w:r>
      <w:r w:rsidRPr="00583273">
        <w:rPr>
          <w:szCs w:val="24"/>
          <w:lang w:eastAsia="lt-LT"/>
        </w:rPr>
        <w:t xml:space="preserve">Ramutė </w:t>
      </w:r>
      <w:proofErr w:type="spellStart"/>
      <w:r w:rsidRPr="00583273">
        <w:rPr>
          <w:szCs w:val="24"/>
          <w:lang w:eastAsia="lt-LT"/>
        </w:rPr>
        <w:t>Bužinskien</w:t>
      </w:r>
      <w:r w:rsidR="009565AD">
        <w:rPr>
          <w:szCs w:val="24"/>
          <w:lang w:eastAsia="lt-LT"/>
        </w:rPr>
        <w:t>ė</w:t>
      </w:r>
      <w:proofErr w:type="spellEnd"/>
    </w:p>
    <w:p w14:paraId="77B81DEE" w14:textId="77777777" w:rsidR="00C947E8" w:rsidRPr="00583273" w:rsidRDefault="00C947E8" w:rsidP="00C947E8"/>
    <w:sectPr w:rsidR="00C947E8" w:rsidRPr="00583273" w:rsidSect="009565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8" w:right="562" w:bottom="993" w:left="1699" w:header="288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E978" w14:textId="77777777" w:rsidR="00182130" w:rsidRDefault="00182130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17F9109B" w14:textId="77777777" w:rsidR="00182130" w:rsidRDefault="00182130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11B4" w14:textId="77777777" w:rsidR="00481EB7" w:rsidRDefault="00481EB7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55C811B5" w14:textId="77777777" w:rsidR="00481EB7" w:rsidRDefault="00481EB7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11B7" w14:textId="77777777" w:rsidR="00481EB7" w:rsidRDefault="00481EB7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11BA" w14:textId="77777777" w:rsidR="00481EB7" w:rsidRDefault="00481EB7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B035" w14:textId="77777777" w:rsidR="00182130" w:rsidRDefault="00182130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09413A90" w14:textId="77777777" w:rsidR="00182130" w:rsidRDefault="00182130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11B2" w14:textId="77777777" w:rsidR="00481EB7" w:rsidRDefault="00481EB7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046835"/>
      <w:docPartObj>
        <w:docPartGallery w:val="Page Numbers (Top of Page)"/>
        <w:docPartUnique/>
      </w:docPartObj>
    </w:sdtPr>
    <w:sdtEndPr/>
    <w:sdtContent>
      <w:p w14:paraId="1868A214" w14:textId="61E6F899" w:rsidR="00481EB7" w:rsidRDefault="00481EB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11B8" w14:textId="77777777" w:rsidR="00481EB7" w:rsidRDefault="00481EB7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2ACD"/>
    <w:multiLevelType w:val="hybridMultilevel"/>
    <w:tmpl w:val="155A5DAE"/>
    <w:lvl w:ilvl="0" w:tplc="636A39F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6E7A"/>
    <w:multiLevelType w:val="hybridMultilevel"/>
    <w:tmpl w:val="0E08A3EE"/>
    <w:lvl w:ilvl="0" w:tplc="78ACFF3A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D0542"/>
    <w:multiLevelType w:val="hybridMultilevel"/>
    <w:tmpl w:val="2F16A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027AD"/>
    <w:multiLevelType w:val="hybridMultilevel"/>
    <w:tmpl w:val="D328670C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4" w15:restartNumberingAfterBreak="0">
    <w:nsid w:val="37AF76E2"/>
    <w:multiLevelType w:val="hybridMultilevel"/>
    <w:tmpl w:val="8A7C326C"/>
    <w:lvl w:ilvl="0" w:tplc="C10C688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21E96"/>
    <w:multiLevelType w:val="hybridMultilevel"/>
    <w:tmpl w:val="E0C0E82A"/>
    <w:lvl w:ilvl="0" w:tplc="78ACFF3A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F288A"/>
    <w:multiLevelType w:val="hybridMultilevel"/>
    <w:tmpl w:val="43266C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60A3E"/>
    <w:multiLevelType w:val="hybridMultilevel"/>
    <w:tmpl w:val="3EE8B9F4"/>
    <w:lvl w:ilvl="0" w:tplc="78ACFF3A">
      <w:start w:val="202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353785B"/>
    <w:multiLevelType w:val="hybridMultilevel"/>
    <w:tmpl w:val="1E96E2DA"/>
    <w:lvl w:ilvl="0" w:tplc="0409000F">
      <w:start w:val="1"/>
      <w:numFmt w:val="decimal"/>
      <w:lvlText w:val="%1."/>
      <w:lvlJc w:val="left"/>
      <w:pPr>
        <w:ind w:left="1632" w:hanging="360"/>
      </w:p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9" w15:restartNumberingAfterBreak="0">
    <w:nsid w:val="74DA10AA"/>
    <w:multiLevelType w:val="hybridMultilevel"/>
    <w:tmpl w:val="85DE31B6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54"/>
    <w:rsid w:val="000074A7"/>
    <w:rsid w:val="00014A8B"/>
    <w:rsid w:val="00026034"/>
    <w:rsid w:val="00042CFD"/>
    <w:rsid w:val="00044975"/>
    <w:rsid w:val="000529A8"/>
    <w:rsid w:val="00053C96"/>
    <w:rsid w:val="000560B0"/>
    <w:rsid w:val="0006715F"/>
    <w:rsid w:val="00067585"/>
    <w:rsid w:val="00073C11"/>
    <w:rsid w:val="00077821"/>
    <w:rsid w:val="00081F65"/>
    <w:rsid w:val="00082CBE"/>
    <w:rsid w:val="0008637B"/>
    <w:rsid w:val="000875B5"/>
    <w:rsid w:val="00087ED1"/>
    <w:rsid w:val="00092199"/>
    <w:rsid w:val="00093781"/>
    <w:rsid w:val="000946BE"/>
    <w:rsid w:val="000969E0"/>
    <w:rsid w:val="000977C8"/>
    <w:rsid w:val="000A16FD"/>
    <w:rsid w:val="000A4C7E"/>
    <w:rsid w:val="000A78CF"/>
    <w:rsid w:val="000C349B"/>
    <w:rsid w:val="000C46BB"/>
    <w:rsid w:val="000C743B"/>
    <w:rsid w:val="000E30D3"/>
    <w:rsid w:val="000E352E"/>
    <w:rsid w:val="000E59CA"/>
    <w:rsid w:val="000E744A"/>
    <w:rsid w:val="000F0434"/>
    <w:rsid w:val="000F5229"/>
    <w:rsid w:val="001001AE"/>
    <w:rsid w:val="0011176D"/>
    <w:rsid w:val="001128E9"/>
    <w:rsid w:val="001143B4"/>
    <w:rsid w:val="001179EF"/>
    <w:rsid w:val="00117CDD"/>
    <w:rsid w:val="00130B22"/>
    <w:rsid w:val="00130D2A"/>
    <w:rsid w:val="00132B37"/>
    <w:rsid w:val="00134794"/>
    <w:rsid w:val="00134EDA"/>
    <w:rsid w:val="00141BB0"/>
    <w:rsid w:val="00142796"/>
    <w:rsid w:val="00142853"/>
    <w:rsid w:val="00143F40"/>
    <w:rsid w:val="00146991"/>
    <w:rsid w:val="0015225A"/>
    <w:rsid w:val="00152D9D"/>
    <w:rsid w:val="001537E7"/>
    <w:rsid w:val="00155565"/>
    <w:rsid w:val="00157D11"/>
    <w:rsid w:val="001606F7"/>
    <w:rsid w:val="00162237"/>
    <w:rsid w:val="001640C9"/>
    <w:rsid w:val="00165022"/>
    <w:rsid w:val="0017403A"/>
    <w:rsid w:val="00175C45"/>
    <w:rsid w:val="001768EA"/>
    <w:rsid w:val="00182130"/>
    <w:rsid w:val="0019707D"/>
    <w:rsid w:val="001A1B07"/>
    <w:rsid w:val="001A271D"/>
    <w:rsid w:val="001A3D8C"/>
    <w:rsid w:val="001B3A12"/>
    <w:rsid w:val="001B62CA"/>
    <w:rsid w:val="001C4294"/>
    <w:rsid w:val="001C51CD"/>
    <w:rsid w:val="001D04EC"/>
    <w:rsid w:val="001D4B92"/>
    <w:rsid w:val="001F5197"/>
    <w:rsid w:val="00202E05"/>
    <w:rsid w:val="0022386F"/>
    <w:rsid w:val="002372A3"/>
    <w:rsid w:val="00240141"/>
    <w:rsid w:val="002512D4"/>
    <w:rsid w:val="002518C0"/>
    <w:rsid w:val="00253B9A"/>
    <w:rsid w:val="00267102"/>
    <w:rsid w:val="00272F83"/>
    <w:rsid w:val="002740DD"/>
    <w:rsid w:val="0027715F"/>
    <w:rsid w:val="00280F7E"/>
    <w:rsid w:val="002850C4"/>
    <w:rsid w:val="00285EB4"/>
    <w:rsid w:val="00292C2F"/>
    <w:rsid w:val="00293E07"/>
    <w:rsid w:val="0029684E"/>
    <w:rsid w:val="002B0EAD"/>
    <w:rsid w:val="002B617C"/>
    <w:rsid w:val="002C1F0C"/>
    <w:rsid w:val="002C207B"/>
    <w:rsid w:val="002C6A0D"/>
    <w:rsid w:val="002D385C"/>
    <w:rsid w:val="002D4089"/>
    <w:rsid w:val="002D615A"/>
    <w:rsid w:val="002E0AC9"/>
    <w:rsid w:val="002E2868"/>
    <w:rsid w:val="002E4E9F"/>
    <w:rsid w:val="002E5112"/>
    <w:rsid w:val="002E6B88"/>
    <w:rsid w:val="002E715D"/>
    <w:rsid w:val="002E7F6D"/>
    <w:rsid w:val="002F2B68"/>
    <w:rsid w:val="002F36A4"/>
    <w:rsid w:val="002F388B"/>
    <w:rsid w:val="002F6386"/>
    <w:rsid w:val="00301537"/>
    <w:rsid w:val="00301EC9"/>
    <w:rsid w:val="003068A0"/>
    <w:rsid w:val="00310F63"/>
    <w:rsid w:val="00312D30"/>
    <w:rsid w:val="003161B4"/>
    <w:rsid w:val="00316490"/>
    <w:rsid w:val="00320C42"/>
    <w:rsid w:val="00326477"/>
    <w:rsid w:val="00332244"/>
    <w:rsid w:val="00343E7B"/>
    <w:rsid w:val="003448E5"/>
    <w:rsid w:val="00345B91"/>
    <w:rsid w:val="003504CE"/>
    <w:rsid w:val="00350B32"/>
    <w:rsid w:val="00350C99"/>
    <w:rsid w:val="0035257E"/>
    <w:rsid w:val="003622CA"/>
    <w:rsid w:val="00390252"/>
    <w:rsid w:val="00396A52"/>
    <w:rsid w:val="00396FFF"/>
    <w:rsid w:val="003A78C6"/>
    <w:rsid w:val="003B0D20"/>
    <w:rsid w:val="003B0DBC"/>
    <w:rsid w:val="003B4785"/>
    <w:rsid w:val="003C1422"/>
    <w:rsid w:val="003D2AF3"/>
    <w:rsid w:val="003D409F"/>
    <w:rsid w:val="003E2D5B"/>
    <w:rsid w:val="003E3994"/>
    <w:rsid w:val="003F35CB"/>
    <w:rsid w:val="003F3F30"/>
    <w:rsid w:val="004041C3"/>
    <w:rsid w:val="004128EB"/>
    <w:rsid w:val="0041626B"/>
    <w:rsid w:val="004216C2"/>
    <w:rsid w:val="004262C6"/>
    <w:rsid w:val="00440F6C"/>
    <w:rsid w:val="00442E0C"/>
    <w:rsid w:val="004508C2"/>
    <w:rsid w:val="00451AD7"/>
    <w:rsid w:val="00456B40"/>
    <w:rsid w:val="0045751B"/>
    <w:rsid w:val="00464EBE"/>
    <w:rsid w:val="00470F46"/>
    <w:rsid w:val="00471B82"/>
    <w:rsid w:val="0047281A"/>
    <w:rsid w:val="00481EB7"/>
    <w:rsid w:val="00482064"/>
    <w:rsid w:val="0048308F"/>
    <w:rsid w:val="00483565"/>
    <w:rsid w:val="0048369A"/>
    <w:rsid w:val="00485710"/>
    <w:rsid w:val="00485CDE"/>
    <w:rsid w:val="004A3035"/>
    <w:rsid w:val="004A48C4"/>
    <w:rsid w:val="004A7CFB"/>
    <w:rsid w:val="004B2855"/>
    <w:rsid w:val="004B6B7F"/>
    <w:rsid w:val="004C6A6C"/>
    <w:rsid w:val="004E65A1"/>
    <w:rsid w:val="004F4B98"/>
    <w:rsid w:val="004F5586"/>
    <w:rsid w:val="004F6D52"/>
    <w:rsid w:val="0051665C"/>
    <w:rsid w:val="00522028"/>
    <w:rsid w:val="005226A6"/>
    <w:rsid w:val="005231DA"/>
    <w:rsid w:val="00525E2A"/>
    <w:rsid w:val="00541617"/>
    <w:rsid w:val="00566929"/>
    <w:rsid w:val="005759BE"/>
    <w:rsid w:val="00577B40"/>
    <w:rsid w:val="00577B4A"/>
    <w:rsid w:val="00583273"/>
    <w:rsid w:val="00584A40"/>
    <w:rsid w:val="00584A65"/>
    <w:rsid w:val="00595552"/>
    <w:rsid w:val="005B128A"/>
    <w:rsid w:val="005B228B"/>
    <w:rsid w:val="005B7000"/>
    <w:rsid w:val="005C2170"/>
    <w:rsid w:val="005C4A6F"/>
    <w:rsid w:val="005D71B4"/>
    <w:rsid w:val="005E2655"/>
    <w:rsid w:val="005E6F9C"/>
    <w:rsid w:val="005E6FBA"/>
    <w:rsid w:val="005E7AA9"/>
    <w:rsid w:val="005E7E88"/>
    <w:rsid w:val="005F028B"/>
    <w:rsid w:val="005F3ACF"/>
    <w:rsid w:val="00610E64"/>
    <w:rsid w:val="006116BC"/>
    <w:rsid w:val="00614A59"/>
    <w:rsid w:val="006168CD"/>
    <w:rsid w:val="006171A2"/>
    <w:rsid w:val="00621298"/>
    <w:rsid w:val="00621EE2"/>
    <w:rsid w:val="0063408A"/>
    <w:rsid w:val="00641D01"/>
    <w:rsid w:val="00643207"/>
    <w:rsid w:val="00660A05"/>
    <w:rsid w:val="00661119"/>
    <w:rsid w:val="00662B54"/>
    <w:rsid w:val="00665494"/>
    <w:rsid w:val="0067163F"/>
    <w:rsid w:val="00673465"/>
    <w:rsid w:val="006741D0"/>
    <w:rsid w:val="00681CC3"/>
    <w:rsid w:val="006924F9"/>
    <w:rsid w:val="00692720"/>
    <w:rsid w:val="00692CB0"/>
    <w:rsid w:val="00694A7E"/>
    <w:rsid w:val="00696CDA"/>
    <w:rsid w:val="006A055B"/>
    <w:rsid w:val="006A31B4"/>
    <w:rsid w:val="006A4E79"/>
    <w:rsid w:val="006B0C28"/>
    <w:rsid w:val="006B460E"/>
    <w:rsid w:val="006C41B0"/>
    <w:rsid w:val="006C49E0"/>
    <w:rsid w:val="006C60EF"/>
    <w:rsid w:val="006D1980"/>
    <w:rsid w:val="006D4002"/>
    <w:rsid w:val="006D5314"/>
    <w:rsid w:val="006D5F33"/>
    <w:rsid w:val="006E1869"/>
    <w:rsid w:val="006E3F76"/>
    <w:rsid w:val="006F26B0"/>
    <w:rsid w:val="006F385A"/>
    <w:rsid w:val="006F4A27"/>
    <w:rsid w:val="006F7C5C"/>
    <w:rsid w:val="00701828"/>
    <w:rsid w:val="00704B75"/>
    <w:rsid w:val="00705AE6"/>
    <w:rsid w:val="00706066"/>
    <w:rsid w:val="007074CD"/>
    <w:rsid w:val="0071326D"/>
    <w:rsid w:val="007165D2"/>
    <w:rsid w:val="00726A2C"/>
    <w:rsid w:val="00730728"/>
    <w:rsid w:val="007335E6"/>
    <w:rsid w:val="007411EC"/>
    <w:rsid w:val="00742027"/>
    <w:rsid w:val="007430EE"/>
    <w:rsid w:val="00761062"/>
    <w:rsid w:val="0076310A"/>
    <w:rsid w:val="00764864"/>
    <w:rsid w:val="00764BE6"/>
    <w:rsid w:val="00764F74"/>
    <w:rsid w:val="00765AEE"/>
    <w:rsid w:val="00775F42"/>
    <w:rsid w:val="00777DAC"/>
    <w:rsid w:val="0078030B"/>
    <w:rsid w:val="00793383"/>
    <w:rsid w:val="007958AE"/>
    <w:rsid w:val="007B4D77"/>
    <w:rsid w:val="007C3BCF"/>
    <w:rsid w:val="007C798D"/>
    <w:rsid w:val="007D2F62"/>
    <w:rsid w:val="007D4EFC"/>
    <w:rsid w:val="007D5C2F"/>
    <w:rsid w:val="007D65CB"/>
    <w:rsid w:val="007E10BF"/>
    <w:rsid w:val="007E144F"/>
    <w:rsid w:val="00802438"/>
    <w:rsid w:val="00810729"/>
    <w:rsid w:val="00815348"/>
    <w:rsid w:val="008156C7"/>
    <w:rsid w:val="008174CD"/>
    <w:rsid w:val="00822554"/>
    <w:rsid w:val="00822A72"/>
    <w:rsid w:val="008325C5"/>
    <w:rsid w:val="00851874"/>
    <w:rsid w:val="008569AC"/>
    <w:rsid w:val="00863D9E"/>
    <w:rsid w:val="00864BDD"/>
    <w:rsid w:val="008762E1"/>
    <w:rsid w:val="0087725C"/>
    <w:rsid w:val="00887792"/>
    <w:rsid w:val="008926FE"/>
    <w:rsid w:val="008944AC"/>
    <w:rsid w:val="008A3495"/>
    <w:rsid w:val="008A4A1B"/>
    <w:rsid w:val="008B1527"/>
    <w:rsid w:val="008B44EE"/>
    <w:rsid w:val="008B6F0E"/>
    <w:rsid w:val="008D3B09"/>
    <w:rsid w:val="008D5277"/>
    <w:rsid w:val="008D7A3C"/>
    <w:rsid w:val="008E24C2"/>
    <w:rsid w:val="008E6E7E"/>
    <w:rsid w:val="009046DC"/>
    <w:rsid w:val="00914933"/>
    <w:rsid w:val="00920574"/>
    <w:rsid w:val="00931349"/>
    <w:rsid w:val="00932F03"/>
    <w:rsid w:val="00941F2A"/>
    <w:rsid w:val="00947091"/>
    <w:rsid w:val="0094714A"/>
    <w:rsid w:val="009565AD"/>
    <w:rsid w:val="00956F0E"/>
    <w:rsid w:val="00961993"/>
    <w:rsid w:val="009639F6"/>
    <w:rsid w:val="00967B6B"/>
    <w:rsid w:val="009817E8"/>
    <w:rsid w:val="009840D2"/>
    <w:rsid w:val="009857C3"/>
    <w:rsid w:val="00987A4F"/>
    <w:rsid w:val="0099026E"/>
    <w:rsid w:val="0099639A"/>
    <w:rsid w:val="00997DA9"/>
    <w:rsid w:val="009A6E59"/>
    <w:rsid w:val="009C156C"/>
    <w:rsid w:val="009C3144"/>
    <w:rsid w:val="009C4796"/>
    <w:rsid w:val="009D3366"/>
    <w:rsid w:val="009D5629"/>
    <w:rsid w:val="009D5C65"/>
    <w:rsid w:val="009E068F"/>
    <w:rsid w:val="009E11B5"/>
    <w:rsid w:val="009E37ED"/>
    <w:rsid w:val="009E3F41"/>
    <w:rsid w:val="009E74A0"/>
    <w:rsid w:val="009F1B0D"/>
    <w:rsid w:val="009F3854"/>
    <w:rsid w:val="009F7E14"/>
    <w:rsid w:val="00A0052B"/>
    <w:rsid w:val="00A10C7E"/>
    <w:rsid w:val="00A12EBB"/>
    <w:rsid w:val="00A16CFC"/>
    <w:rsid w:val="00A23983"/>
    <w:rsid w:val="00A300DD"/>
    <w:rsid w:val="00A34E80"/>
    <w:rsid w:val="00A37729"/>
    <w:rsid w:val="00A37ACD"/>
    <w:rsid w:val="00A426B8"/>
    <w:rsid w:val="00A53A7E"/>
    <w:rsid w:val="00A56D34"/>
    <w:rsid w:val="00A613BC"/>
    <w:rsid w:val="00A622EE"/>
    <w:rsid w:val="00A710F3"/>
    <w:rsid w:val="00A71770"/>
    <w:rsid w:val="00A774CC"/>
    <w:rsid w:val="00A818AE"/>
    <w:rsid w:val="00A837BF"/>
    <w:rsid w:val="00A83A5C"/>
    <w:rsid w:val="00A874F6"/>
    <w:rsid w:val="00A94412"/>
    <w:rsid w:val="00AA1831"/>
    <w:rsid w:val="00AA3D35"/>
    <w:rsid w:val="00AB194E"/>
    <w:rsid w:val="00AC1139"/>
    <w:rsid w:val="00AC18CB"/>
    <w:rsid w:val="00AC2B27"/>
    <w:rsid w:val="00AD7884"/>
    <w:rsid w:val="00AE1C0B"/>
    <w:rsid w:val="00AE429A"/>
    <w:rsid w:val="00AF79A0"/>
    <w:rsid w:val="00B012BA"/>
    <w:rsid w:val="00B02AD7"/>
    <w:rsid w:val="00B05EAA"/>
    <w:rsid w:val="00B10254"/>
    <w:rsid w:val="00B139ED"/>
    <w:rsid w:val="00B13F4D"/>
    <w:rsid w:val="00B21ACF"/>
    <w:rsid w:val="00B25DCB"/>
    <w:rsid w:val="00B32C71"/>
    <w:rsid w:val="00B37D72"/>
    <w:rsid w:val="00B42752"/>
    <w:rsid w:val="00B460BF"/>
    <w:rsid w:val="00B461EF"/>
    <w:rsid w:val="00B54564"/>
    <w:rsid w:val="00B62953"/>
    <w:rsid w:val="00B70499"/>
    <w:rsid w:val="00B710B7"/>
    <w:rsid w:val="00B72CCA"/>
    <w:rsid w:val="00B75E7D"/>
    <w:rsid w:val="00B93962"/>
    <w:rsid w:val="00BA676A"/>
    <w:rsid w:val="00BA6F66"/>
    <w:rsid w:val="00BB1F3F"/>
    <w:rsid w:val="00BC387F"/>
    <w:rsid w:val="00BC5BAA"/>
    <w:rsid w:val="00BD345D"/>
    <w:rsid w:val="00BD350A"/>
    <w:rsid w:val="00BE4C11"/>
    <w:rsid w:val="00BF1641"/>
    <w:rsid w:val="00BF6171"/>
    <w:rsid w:val="00C07319"/>
    <w:rsid w:val="00C07E40"/>
    <w:rsid w:val="00C11D0A"/>
    <w:rsid w:val="00C12571"/>
    <w:rsid w:val="00C12F08"/>
    <w:rsid w:val="00C14141"/>
    <w:rsid w:val="00C14E75"/>
    <w:rsid w:val="00C24F44"/>
    <w:rsid w:val="00C2555C"/>
    <w:rsid w:val="00C25BE0"/>
    <w:rsid w:val="00C316B7"/>
    <w:rsid w:val="00C3512A"/>
    <w:rsid w:val="00C53C3C"/>
    <w:rsid w:val="00C65CEE"/>
    <w:rsid w:val="00C705D6"/>
    <w:rsid w:val="00C77240"/>
    <w:rsid w:val="00C77A80"/>
    <w:rsid w:val="00C82053"/>
    <w:rsid w:val="00C84E49"/>
    <w:rsid w:val="00C855E5"/>
    <w:rsid w:val="00C938E3"/>
    <w:rsid w:val="00C947E8"/>
    <w:rsid w:val="00CA0303"/>
    <w:rsid w:val="00CA5C1E"/>
    <w:rsid w:val="00CB26CF"/>
    <w:rsid w:val="00CB7B0F"/>
    <w:rsid w:val="00CD424F"/>
    <w:rsid w:val="00CD4CD6"/>
    <w:rsid w:val="00CF0987"/>
    <w:rsid w:val="00CF197E"/>
    <w:rsid w:val="00CF6E84"/>
    <w:rsid w:val="00D00160"/>
    <w:rsid w:val="00D003A1"/>
    <w:rsid w:val="00D16F50"/>
    <w:rsid w:val="00D17B4A"/>
    <w:rsid w:val="00D21C74"/>
    <w:rsid w:val="00D26519"/>
    <w:rsid w:val="00D31211"/>
    <w:rsid w:val="00D4312D"/>
    <w:rsid w:val="00D47E50"/>
    <w:rsid w:val="00D64513"/>
    <w:rsid w:val="00D64FED"/>
    <w:rsid w:val="00D73038"/>
    <w:rsid w:val="00D76493"/>
    <w:rsid w:val="00D86D47"/>
    <w:rsid w:val="00D87496"/>
    <w:rsid w:val="00D95268"/>
    <w:rsid w:val="00D97C31"/>
    <w:rsid w:val="00DA1BB5"/>
    <w:rsid w:val="00DA2CBA"/>
    <w:rsid w:val="00DA32E2"/>
    <w:rsid w:val="00DA3BF9"/>
    <w:rsid w:val="00DA7E7A"/>
    <w:rsid w:val="00DB256D"/>
    <w:rsid w:val="00DB5E10"/>
    <w:rsid w:val="00DB67C2"/>
    <w:rsid w:val="00DC68D5"/>
    <w:rsid w:val="00DD1C42"/>
    <w:rsid w:val="00DD2D03"/>
    <w:rsid w:val="00DD7B81"/>
    <w:rsid w:val="00DE3675"/>
    <w:rsid w:val="00DE4EA7"/>
    <w:rsid w:val="00DF5181"/>
    <w:rsid w:val="00E045B6"/>
    <w:rsid w:val="00E06488"/>
    <w:rsid w:val="00E11A00"/>
    <w:rsid w:val="00E14FDD"/>
    <w:rsid w:val="00E16EA5"/>
    <w:rsid w:val="00E17E53"/>
    <w:rsid w:val="00E203E0"/>
    <w:rsid w:val="00E22DDB"/>
    <w:rsid w:val="00E30E11"/>
    <w:rsid w:val="00E429C3"/>
    <w:rsid w:val="00E4378B"/>
    <w:rsid w:val="00E4660C"/>
    <w:rsid w:val="00E554F0"/>
    <w:rsid w:val="00E555D6"/>
    <w:rsid w:val="00E5747C"/>
    <w:rsid w:val="00E60DC0"/>
    <w:rsid w:val="00E61111"/>
    <w:rsid w:val="00E6727B"/>
    <w:rsid w:val="00E71264"/>
    <w:rsid w:val="00E75E1F"/>
    <w:rsid w:val="00E819D2"/>
    <w:rsid w:val="00E849C3"/>
    <w:rsid w:val="00E91EC1"/>
    <w:rsid w:val="00EA18E8"/>
    <w:rsid w:val="00EA493A"/>
    <w:rsid w:val="00EA778B"/>
    <w:rsid w:val="00EB237B"/>
    <w:rsid w:val="00EB3F38"/>
    <w:rsid w:val="00EB42C1"/>
    <w:rsid w:val="00EB474A"/>
    <w:rsid w:val="00EB6E6C"/>
    <w:rsid w:val="00EB6FD9"/>
    <w:rsid w:val="00EB71C9"/>
    <w:rsid w:val="00EB76E8"/>
    <w:rsid w:val="00ED1921"/>
    <w:rsid w:val="00ED7207"/>
    <w:rsid w:val="00EE2927"/>
    <w:rsid w:val="00EE38FA"/>
    <w:rsid w:val="00EE575C"/>
    <w:rsid w:val="00EE5E4E"/>
    <w:rsid w:val="00EE6225"/>
    <w:rsid w:val="00EF0925"/>
    <w:rsid w:val="00EF093A"/>
    <w:rsid w:val="00EF0C48"/>
    <w:rsid w:val="00EF0E84"/>
    <w:rsid w:val="00EF751C"/>
    <w:rsid w:val="00EF7912"/>
    <w:rsid w:val="00F01429"/>
    <w:rsid w:val="00F05AD4"/>
    <w:rsid w:val="00F05BA2"/>
    <w:rsid w:val="00F0632D"/>
    <w:rsid w:val="00F0639B"/>
    <w:rsid w:val="00F12B14"/>
    <w:rsid w:val="00F2089D"/>
    <w:rsid w:val="00F264FC"/>
    <w:rsid w:val="00F31E87"/>
    <w:rsid w:val="00F35099"/>
    <w:rsid w:val="00F401D1"/>
    <w:rsid w:val="00F47E79"/>
    <w:rsid w:val="00F50D13"/>
    <w:rsid w:val="00F51E7E"/>
    <w:rsid w:val="00F5545D"/>
    <w:rsid w:val="00F56580"/>
    <w:rsid w:val="00F62D10"/>
    <w:rsid w:val="00F67F6A"/>
    <w:rsid w:val="00F71FB2"/>
    <w:rsid w:val="00F73CEB"/>
    <w:rsid w:val="00F80332"/>
    <w:rsid w:val="00F82884"/>
    <w:rsid w:val="00F90AD7"/>
    <w:rsid w:val="00F92833"/>
    <w:rsid w:val="00FB15AA"/>
    <w:rsid w:val="00FB31F2"/>
    <w:rsid w:val="00FC057B"/>
    <w:rsid w:val="00FC19AE"/>
    <w:rsid w:val="00FC5170"/>
    <w:rsid w:val="00FC57E8"/>
    <w:rsid w:val="00FD643B"/>
    <w:rsid w:val="00FE2BD8"/>
    <w:rsid w:val="00FE74C2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C81095"/>
  <w15:docId w15:val="{BB096909-7C08-4F5D-97FE-4C56A8EC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F6D52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4F6D5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F6D52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semiHidden/>
    <w:unhideWhenUsed/>
    <w:rsid w:val="0027715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27715F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semiHidden/>
    <w:unhideWhenUsed/>
    <w:rsid w:val="0027715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27715F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27715F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EE622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EE6225"/>
    <w:rPr>
      <w:b/>
      <w:bCs/>
      <w:sz w:val="20"/>
    </w:rPr>
  </w:style>
  <w:style w:type="table" w:styleId="Lentelstinklelis">
    <w:name w:val="Table Grid"/>
    <w:basedOn w:val="prastojilentel"/>
    <w:rsid w:val="002671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nhideWhenUsed/>
    <w:rsid w:val="00D26519"/>
    <w:rPr>
      <w:color w:val="0563C1" w:themeColor="hyperlink"/>
      <w:u w:val="single"/>
    </w:rPr>
  </w:style>
  <w:style w:type="paragraph" w:styleId="Pataisymai">
    <w:name w:val="Revision"/>
    <w:hidden/>
    <w:semiHidden/>
    <w:rsid w:val="006D1980"/>
  </w:style>
  <w:style w:type="paragraph" w:styleId="Sraopastraipa">
    <w:name w:val="List Paragraph"/>
    <w:basedOn w:val="prastasis"/>
    <w:rsid w:val="00E203E0"/>
    <w:pPr>
      <w:ind w:left="720"/>
      <w:contextualSpacing/>
    </w:pPr>
    <w:rPr>
      <w:rFonts w:eastAsia="MS Mincho"/>
    </w:rPr>
  </w:style>
  <w:style w:type="paragraph" w:styleId="prastasiniatinklio">
    <w:name w:val="Normal (Web)"/>
    <w:basedOn w:val="prastasis"/>
    <w:uiPriority w:val="99"/>
    <w:unhideWhenUsed/>
    <w:rsid w:val="00143F40"/>
    <w:pPr>
      <w:spacing w:before="100" w:beforeAutospacing="1" w:after="100" w:afterAutospacing="1"/>
    </w:pPr>
    <w:rPr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43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FBFBE0-3ABF-4307-97D1-DE89E0FFDC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867E2D-F87F-459C-A694-1A731E105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13A32-CE2D-4786-8806-205CE8511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6855D8-6758-4DF6-8BB1-30DD6ABC29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13150</Words>
  <Characters>7496</Characters>
  <Application>Microsoft Office Word</Application>
  <DocSecurity>0</DocSecurity>
  <Lines>62</Lines>
  <Paragraphs>41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ee03e331-3349-47d8-b590-fc919fc3a878</vt:lpstr>
      <vt:lpstr>ee03e331-3349-47d8-b590-fc919fc3a878</vt:lpstr>
    </vt:vector>
  </TitlesOfParts>
  <Company>VKS</Company>
  <LinksUpToDate>false</LinksUpToDate>
  <CharactersWithSpaces>20605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ee03e331-3349-47d8-b590-fc919fc3a878</dc:title>
  <dc:creator>Razmantienė Audronė</dc:creator>
  <cp:lastModifiedBy>Laima</cp:lastModifiedBy>
  <cp:revision>9</cp:revision>
  <cp:lastPrinted>2022-02-15T08:26:00Z</cp:lastPrinted>
  <dcterms:created xsi:type="dcterms:W3CDTF">2022-03-10T07:26:00Z</dcterms:created>
  <dcterms:modified xsi:type="dcterms:W3CDTF">2022-03-10T07:33:00Z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Koreguota vizavimo metu</vt:lpwstr>
  </property>
</Properties>
</file>